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D02" w:rsidRPr="00EA0289" w:rsidRDefault="00527D02" w:rsidP="00527D02">
      <w:pPr>
        <w:spacing w:line="240" w:lineRule="auto"/>
        <w:jc w:val="both"/>
        <w:rPr>
          <w:rFonts w:ascii="Times New Roman" w:hAnsi="Times New Roman" w:cs="Times New Roman"/>
          <w:sz w:val="24"/>
          <w:szCs w:val="24"/>
        </w:rPr>
      </w:pPr>
      <w:r w:rsidRPr="00EA0289">
        <w:rPr>
          <w:rFonts w:ascii="Times New Roman" w:hAnsi="Times New Roman" w:cs="Times New Roman"/>
          <w:sz w:val="24"/>
          <w:szCs w:val="24"/>
        </w:rPr>
        <w:t>Gimnazija „Matija Mesić“</w:t>
      </w:r>
    </w:p>
    <w:p w:rsidR="00527D02" w:rsidRPr="00EA0289" w:rsidRDefault="00527D02" w:rsidP="00527D02">
      <w:pPr>
        <w:spacing w:line="240" w:lineRule="auto"/>
        <w:jc w:val="both"/>
        <w:rPr>
          <w:rFonts w:ascii="Times New Roman" w:hAnsi="Times New Roman" w:cs="Times New Roman"/>
          <w:sz w:val="24"/>
          <w:szCs w:val="24"/>
        </w:rPr>
      </w:pPr>
      <w:r w:rsidRPr="00EA0289">
        <w:rPr>
          <w:rFonts w:ascii="Times New Roman" w:hAnsi="Times New Roman" w:cs="Times New Roman"/>
          <w:sz w:val="24"/>
          <w:szCs w:val="24"/>
        </w:rPr>
        <w:t>Slavonski Brod</w:t>
      </w:r>
    </w:p>
    <w:p w:rsidR="00527D02" w:rsidRPr="00EA0289" w:rsidRDefault="00527D02" w:rsidP="00527D02">
      <w:pPr>
        <w:spacing w:line="240" w:lineRule="auto"/>
        <w:jc w:val="both"/>
        <w:rPr>
          <w:rFonts w:ascii="Times New Roman" w:hAnsi="Times New Roman" w:cs="Times New Roman"/>
          <w:sz w:val="24"/>
          <w:szCs w:val="24"/>
        </w:rPr>
      </w:pPr>
      <w:r w:rsidRPr="00EA0289">
        <w:rPr>
          <w:rFonts w:ascii="Times New Roman" w:hAnsi="Times New Roman" w:cs="Times New Roman"/>
          <w:sz w:val="24"/>
          <w:szCs w:val="24"/>
        </w:rPr>
        <w:t>Broj RKP:17763                                 Razina: 31                               Razdjel: 000</w:t>
      </w:r>
    </w:p>
    <w:p w:rsidR="00527D02" w:rsidRPr="00EA0289" w:rsidRDefault="00527D02" w:rsidP="00527D02">
      <w:pPr>
        <w:spacing w:line="240" w:lineRule="auto"/>
        <w:jc w:val="both"/>
        <w:rPr>
          <w:rFonts w:ascii="Times New Roman" w:hAnsi="Times New Roman" w:cs="Times New Roman"/>
          <w:sz w:val="24"/>
          <w:szCs w:val="24"/>
        </w:rPr>
      </w:pPr>
      <w:r w:rsidRPr="00EA0289">
        <w:rPr>
          <w:rFonts w:ascii="Times New Roman" w:hAnsi="Times New Roman" w:cs="Times New Roman"/>
          <w:sz w:val="24"/>
          <w:szCs w:val="24"/>
        </w:rPr>
        <w:t xml:space="preserve">Matični broj šk.: 03776433        Šifra djelatnosti: 8531            OIB škole: 45966285848              </w:t>
      </w:r>
    </w:p>
    <w:p w:rsidR="00527D02" w:rsidRPr="00EA0289" w:rsidRDefault="00527D02" w:rsidP="00527D02">
      <w:pPr>
        <w:rPr>
          <w:rFonts w:ascii="Times New Roman" w:hAnsi="Times New Roman" w:cs="Times New Roman"/>
          <w:sz w:val="24"/>
          <w:szCs w:val="24"/>
        </w:rPr>
      </w:pPr>
      <w:r w:rsidRPr="00EA0289">
        <w:rPr>
          <w:rFonts w:ascii="Times New Roman" w:hAnsi="Times New Roman" w:cs="Times New Roman"/>
          <w:sz w:val="24"/>
          <w:szCs w:val="24"/>
        </w:rPr>
        <w:t xml:space="preserve">KLASA: </w:t>
      </w:r>
      <w:r w:rsidR="00F96867">
        <w:rPr>
          <w:rFonts w:ascii="Times New Roman" w:hAnsi="Times New Roman" w:cs="Times New Roman"/>
          <w:sz w:val="24"/>
          <w:szCs w:val="24"/>
        </w:rPr>
        <w:t>400</w:t>
      </w:r>
      <w:bookmarkStart w:id="0" w:name="_GoBack"/>
      <w:bookmarkEnd w:id="0"/>
      <w:r w:rsidR="00F96867">
        <w:rPr>
          <w:rFonts w:ascii="Times New Roman" w:hAnsi="Times New Roman" w:cs="Times New Roman"/>
          <w:sz w:val="24"/>
          <w:szCs w:val="24"/>
        </w:rPr>
        <w:t>-02/25-01/01</w:t>
      </w:r>
    </w:p>
    <w:p w:rsidR="00527D02" w:rsidRPr="00EA0289" w:rsidRDefault="00527D02" w:rsidP="00527D02">
      <w:pPr>
        <w:rPr>
          <w:rFonts w:ascii="Times New Roman" w:hAnsi="Times New Roman" w:cs="Times New Roman"/>
          <w:sz w:val="24"/>
          <w:szCs w:val="24"/>
        </w:rPr>
      </w:pPr>
      <w:r w:rsidRPr="00EA0289">
        <w:rPr>
          <w:rFonts w:ascii="Times New Roman" w:hAnsi="Times New Roman" w:cs="Times New Roman"/>
          <w:sz w:val="24"/>
          <w:szCs w:val="24"/>
        </w:rPr>
        <w:t xml:space="preserve">URBROJ: </w:t>
      </w:r>
      <w:r w:rsidR="00F96867">
        <w:rPr>
          <w:rFonts w:ascii="Times New Roman" w:hAnsi="Times New Roman" w:cs="Times New Roman"/>
          <w:sz w:val="24"/>
          <w:szCs w:val="24"/>
        </w:rPr>
        <w:t>2178-1-11-02-25-1</w:t>
      </w: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jc w:val="center"/>
        <w:rPr>
          <w:rFonts w:ascii="Times New Roman" w:hAnsi="Times New Roman" w:cs="Times New Roman"/>
          <w:b/>
          <w:sz w:val="24"/>
          <w:szCs w:val="24"/>
        </w:rPr>
      </w:pPr>
      <w:r w:rsidRPr="00EA0289">
        <w:rPr>
          <w:rFonts w:ascii="Times New Roman" w:hAnsi="Times New Roman" w:cs="Times New Roman"/>
          <w:b/>
          <w:sz w:val="24"/>
          <w:szCs w:val="24"/>
        </w:rPr>
        <w:t xml:space="preserve">FINANCIJSKI PLAN GIMNAZIJE „MATIJA MESIĆ“, SLAVONSKI BROD </w:t>
      </w:r>
    </w:p>
    <w:p w:rsidR="00527D02" w:rsidRPr="00EA0289" w:rsidRDefault="00527D02" w:rsidP="00527D02">
      <w:pPr>
        <w:jc w:val="center"/>
        <w:rPr>
          <w:rFonts w:ascii="Times New Roman" w:hAnsi="Times New Roman" w:cs="Times New Roman"/>
          <w:b/>
          <w:sz w:val="24"/>
          <w:szCs w:val="24"/>
        </w:rPr>
      </w:pPr>
      <w:r w:rsidRPr="00EA0289">
        <w:rPr>
          <w:rFonts w:ascii="Times New Roman" w:hAnsi="Times New Roman" w:cs="Times New Roman"/>
          <w:b/>
          <w:sz w:val="24"/>
          <w:szCs w:val="24"/>
        </w:rPr>
        <w:t xml:space="preserve">ZA </w:t>
      </w:r>
    </w:p>
    <w:p w:rsidR="00527D02" w:rsidRPr="00EA0289" w:rsidRDefault="00AE7F44" w:rsidP="00527D02">
      <w:pPr>
        <w:jc w:val="center"/>
        <w:rPr>
          <w:rFonts w:ascii="Times New Roman" w:hAnsi="Times New Roman" w:cs="Times New Roman"/>
          <w:b/>
          <w:sz w:val="24"/>
          <w:szCs w:val="24"/>
        </w:rPr>
      </w:pPr>
      <w:r>
        <w:rPr>
          <w:rFonts w:ascii="Times New Roman" w:hAnsi="Times New Roman" w:cs="Times New Roman"/>
          <w:b/>
          <w:sz w:val="24"/>
          <w:szCs w:val="24"/>
        </w:rPr>
        <w:t>2026</w:t>
      </w:r>
      <w:r w:rsidR="00527D02" w:rsidRPr="00EA0289">
        <w:rPr>
          <w:rFonts w:ascii="Times New Roman" w:hAnsi="Times New Roman" w:cs="Times New Roman"/>
          <w:b/>
          <w:sz w:val="24"/>
          <w:szCs w:val="24"/>
        </w:rPr>
        <w:t>. GODINU I PROJEKCIJE ZA 202</w:t>
      </w:r>
      <w:r>
        <w:rPr>
          <w:rFonts w:ascii="Times New Roman" w:hAnsi="Times New Roman" w:cs="Times New Roman"/>
          <w:b/>
          <w:sz w:val="24"/>
          <w:szCs w:val="24"/>
        </w:rPr>
        <w:t>7. I 2028</w:t>
      </w:r>
      <w:r w:rsidR="00527D02" w:rsidRPr="00EA0289">
        <w:rPr>
          <w:rFonts w:ascii="Times New Roman" w:hAnsi="Times New Roman" w:cs="Times New Roman"/>
          <w:b/>
          <w:sz w:val="24"/>
          <w:szCs w:val="24"/>
        </w:rPr>
        <w:t>. GODINU</w:t>
      </w: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rPr>
          <w:rFonts w:ascii="Times New Roman" w:hAnsi="Times New Roman" w:cs="Times New Roman"/>
          <w:sz w:val="24"/>
          <w:szCs w:val="24"/>
        </w:rPr>
      </w:pPr>
    </w:p>
    <w:p w:rsidR="00527D02" w:rsidRPr="00EA0289" w:rsidRDefault="00527D02" w:rsidP="00527D02">
      <w:pPr>
        <w:jc w:val="center"/>
        <w:rPr>
          <w:rFonts w:ascii="Times New Roman" w:hAnsi="Times New Roman" w:cs="Times New Roman"/>
          <w:sz w:val="24"/>
          <w:szCs w:val="24"/>
        </w:rPr>
      </w:pPr>
    </w:p>
    <w:p w:rsidR="00527D02" w:rsidRPr="00EA0289" w:rsidRDefault="00527D02" w:rsidP="00527D02">
      <w:pPr>
        <w:jc w:val="center"/>
        <w:rPr>
          <w:rFonts w:ascii="Times New Roman" w:hAnsi="Times New Roman" w:cs="Times New Roman"/>
          <w:sz w:val="24"/>
          <w:szCs w:val="24"/>
        </w:rPr>
      </w:pPr>
    </w:p>
    <w:p w:rsidR="00527D02" w:rsidRPr="00EA0289" w:rsidRDefault="00527D02" w:rsidP="00527D02">
      <w:pPr>
        <w:jc w:val="center"/>
        <w:rPr>
          <w:rFonts w:ascii="Times New Roman" w:hAnsi="Times New Roman" w:cs="Times New Roman"/>
          <w:sz w:val="24"/>
          <w:szCs w:val="24"/>
        </w:rPr>
      </w:pPr>
    </w:p>
    <w:p w:rsidR="00527D02" w:rsidRPr="00EA0289" w:rsidRDefault="00880CD7" w:rsidP="00527D02">
      <w:pPr>
        <w:jc w:val="center"/>
        <w:rPr>
          <w:rFonts w:ascii="Times New Roman" w:hAnsi="Times New Roman" w:cs="Times New Roman"/>
          <w:sz w:val="24"/>
          <w:szCs w:val="24"/>
        </w:rPr>
      </w:pPr>
      <w:r>
        <w:rPr>
          <w:rFonts w:ascii="Times New Roman" w:hAnsi="Times New Roman" w:cs="Times New Roman"/>
          <w:sz w:val="24"/>
          <w:szCs w:val="24"/>
        </w:rPr>
        <w:t>Slavonski Brod, 30.listopada 2025</w:t>
      </w:r>
      <w:r w:rsidR="00527D02" w:rsidRPr="00EA0289">
        <w:rPr>
          <w:rFonts w:ascii="Times New Roman" w:hAnsi="Times New Roman" w:cs="Times New Roman"/>
          <w:sz w:val="24"/>
          <w:szCs w:val="24"/>
        </w:rPr>
        <w:t>. godine</w:t>
      </w:r>
    </w:p>
    <w:p w:rsidR="00C36C29" w:rsidRPr="00EA0289" w:rsidRDefault="00C36C29" w:rsidP="00527D02">
      <w:pPr>
        <w:jc w:val="center"/>
        <w:rPr>
          <w:rFonts w:ascii="Times New Roman" w:hAnsi="Times New Roman" w:cs="Times New Roman"/>
          <w:sz w:val="24"/>
          <w:szCs w:val="24"/>
        </w:rPr>
      </w:pPr>
      <w:r w:rsidRPr="00EA0289">
        <w:rPr>
          <w:rFonts w:ascii="Times New Roman" w:hAnsi="Times New Roman" w:cs="Times New Roman"/>
          <w:b/>
          <w:sz w:val="24"/>
          <w:szCs w:val="24"/>
        </w:rPr>
        <w:lastRenderedPageBreak/>
        <w:t xml:space="preserve"> OBRAZLOŽENJE FINANCIJSKOG PLANA GIMNAZIJE „MATIJ</w:t>
      </w:r>
      <w:r w:rsidR="00AB5F73">
        <w:rPr>
          <w:rFonts w:ascii="Times New Roman" w:hAnsi="Times New Roman" w:cs="Times New Roman"/>
          <w:b/>
          <w:sz w:val="24"/>
          <w:szCs w:val="24"/>
        </w:rPr>
        <w:t>A MESIĆ“, SLAVONSKI BROD ZA 2026. GODINU I PROJEKCIJA ZA 2027. I 2028</w:t>
      </w:r>
      <w:r w:rsidRPr="00EA0289">
        <w:rPr>
          <w:rFonts w:ascii="Times New Roman" w:hAnsi="Times New Roman" w:cs="Times New Roman"/>
          <w:b/>
          <w:sz w:val="24"/>
          <w:szCs w:val="24"/>
        </w:rPr>
        <w:t>. GODINU</w:t>
      </w:r>
    </w:p>
    <w:p w:rsidR="008251BE" w:rsidRPr="00EA0289" w:rsidRDefault="008251BE" w:rsidP="008251BE">
      <w:pPr>
        <w:spacing w:line="240" w:lineRule="auto"/>
        <w:jc w:val="both"/>
        <w:rPr>
          <w:rFonts w:ascii="Times New Roman" w:hAnsi="Times New Roman" w:cs="Times New Roman"/>
        </w:rPr>
      </w:pPr>
    </w:p>
    <w:p w:rsidR="008251BE" w:rsidRPr="00EA0289" w:rsidRDefault="008251BE" w:rsidP="008251BE">
      <w:pPr>
        <w:spacing w:line="276" w:lineRule="auto"/>
        <w:jc w:val="both"/>
        <w:rPr>
          <w:rFonts w:ascii="Times New Roman" w:hAnsi="Times New Roman" w:cs="Times New Roman"/>
          <w:sz w:val="24"/>
          <w:szCs w:val="24"/>
        </w:rPr>
      </w:pPr>
      <w:r w:rsidRPr="00EA0289">
        <w:rPr>
          <w:rFonts w:ascii="Times New Roman" w:hAnsi="Times New Roman" w:cs="Times New Roman"/>
          <w:sz w:val="24"/>
          <w:szCs w:val="24"/>
        </w:rPr>
        <w:t>Financijski plan akt je Gimnazije „Matija Mesić“ kojim su utvrđeni njegovi prihodi i primici te rashodi i izdaci u skladu s proračunskim klasifikacijama. Financijski se plan donosi i izvršavat će se u skladu s načelima jedinstva i točnosti proračuna, načelu jedne godine, uravnoteženosti, obračunske jedinice, univerzalnosti, specifikacije, dobrog financijskog upravljanja i transparentnosti.</w:t>
      </w:r>
    </w:p>
    <w:p w:rsidR="008251BE" w:rsidRPr="00EA0289" w:rsidRDefault="008251BE" w:rsidP="008251BE">
      <w:pPr>
        <w:spacing w:line="276" w:lineRule="auto"/>
        <w:jc w:val="both"/>
        <w:rPr>
          <w:rFonts w:ascii="Times New Roman" w:hAnsi="Times New Roman" w:cs="Times New Roman"/>
          <w:sz w:val="24"/>
          <w:szCs w:val="24"/>
        </w:rPr>
      </w:pPr>
    </w:p>
    <w:p w:rsidR="008251BE" w:rsidRPr="00EA0289" w:rsidRDefault="008251BE" w:rsidP="008251BE">
      <w:pPr>
        <w:spacing w:after="0" w:line="276" w:lineRule="auto"/>
        <w:jc w:val="center"/>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OBRAZ</w:t>
      </w:r>
      <w:r w:rsidR="004D1ECD" w:rsidRPr="00EA0289">
        <w:rPr>
          <w:rFonts w:ascii="Times New Roman" w:hAnsi="Times New Roman" w:cs="Times New Roman"/>
          <w:color w:val="000000" w:themeColor="text1"/>
          <w:sz w:val="24"/>
          <w:szCs w:val="24"/>
        </w:rPr>
        <w:t xml:space="preserve">LOŽENJE OPĆEG DIJELA </w:t>
      </w:r>
      <w:r w:rsidRPr="00EA0289">
        <w:rPr>
          <w:rFonts w:ascii="Times New Roman" w:hAnsi="Times New Roman" w:cs="Times New Roman"/>
          <w:color w:val="000000" w:themeColor="text1"/>
          <w:sz w:val="24"/>
          <w:szCs w:val="24"/>
        </w:rPr>
        <w:t>FINANCIJSKOG PLANA ZA</w:t>
      </w:r>
    </w:p>
    <w:p w:rsidR="008251BE" w:rsidRPr="00EA0289" w:rsidRDefault="00AB5F73" w:rsidP="008251BE">
      <w:pPr>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 GODINU I PROJEKCIJA ZA 2027. I 2028</w:t>
      </w:r>
      <w:r w:rsidR="008251BE" w:rsidRPr="00EA0289">
        <w:rPr>
          <w:rFonts w:ascii="Times New Roman" w:hAnsi="Times New Roman" w:cs="Times New Roman"/>
          <w:color w:val="000000" w:themeColor="text1"/>
          <w:sz w:val="24"/>
          <w:szCs w:val="24"/>
        </w:rPr>
        <w:t>. GODINU</w:t>
      </w:r>
    </w:p>
    <w:p w:rsidR="008251BE" w:rsidRPr="00EA0289" w:rsidRDefault="008251BE" w:rsidP="008251BE">
      <w:pPr>
        <w:spacing w:line="276" w:lineRule="auto"/>
        <w:jc w:val="both"/>
        <w:rPr>
          <w:rFonts w:ascii="Times New Roman" w:hAnsi="Times New Roman" w:cs="Times New Roman"/>
          <w:b/>
          <w:color w:val="000000" w:themeColor="text1"/>
          <w:sz w:val="24"/>
          <w:szCs w:val="24"/>
        </w:rPr>
      </w:pPr>
    </w:p>
    <w:p w:rsidR="008251BE" w:rsidRPr="00EA0289" w:rsidRDefault="008251BE" w:rsidP="008251BE">
      <w:pPr>
        <w:spacing w:line="276" w:lineRule="auto"/>
        <w:jc w:val="both"/>
        <w:rPr>
          <w:rFonts w:ascii="Times New Roman" w:hAnsi="Times New Roman" w:cs="Times New Roman"/>
          <w:color w:val="000000" w:themeColor="text1"/>
          <w:sz w:val="24"/>
          <w:szCs w:val="24"/>
          <w:u w:val="single"/>
        </w:rPr>
      </w:pPr>
      <w:r w:rsidRPr="00EA0289">
        <w:rPr>
          <w:rFonts w:ascii="Times New Roman" w:hAnsi="Times New Roman" w:cs="Times New Roman"/>
          <w:color w:val="000000" w:themeColor="text1"/>
          <w:sz w:val="24"/>
          <w:szCs w:val="24"/>
          <w:u w:val="single"/>
        </w:rPr>
        <w:t>1.UVOD</w:t>
      </w:r>
    </w:p>
    <w:p w:rsidR="008251BE" w:rsidRPr="00EA0289" w:rsidRDefault="00672311"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Financijski plan</w:t>
      </w:r>
      <w:r w:rsidR="008251BE" w:rsidRPr="00EA0289">
        <w:rPr>
          <w:rFonts w:ascii="Times New Roman" w:hAnsi="Times New Roman" w:cs="Times New Roman"/>
          <w:color w:val="000000" w:themeColor="text1"/>
          <w:sz w:val="24"/>
          <w:szCs w:val="24"/>
        </w:rPr>
        <w:t xml:space="preserve"> Gimnazije </w:t>
      </w:r>
      <w:r w:rsidR="0084389E" w:rsidRPr="00EA0289">
        <w:rPr>
          <w:rFonts w:ascii="Times New Roman" w:hAnsi="Times New Roman" w:cs="Times New Roman"/>
          <w:color w:val="000000" w:themeColor="text1"/>
          <w:sz w:val="24"/>
          <w:szCs w:val="24"/>
        </w:rPr>
        <w:t xml:space="preserve">„Matija Mesić“ za razdoblje </w:t>
      </w:r>
      <w:r w:rsidR="00DC4652">
        <w:rPr>
          <w:rFonts w:ascii="Times New Roman" w:hAnsi="Times New Roman" w:cs="Times New Roman"/>
          <w:color w:val="000000" w:themeColor="text1"/>
          <w:sz w:val="24"/>
          <w:szCs w:val="24"/>
        </w:rPr>
        <w:t>2026.-2028</w:t>
      </w:r>
      <w:r w:rsidR="008251BE" w:rsidRPr="00EA0289">
        <w:rPr>
          <w:rFonts w:ascii="Times New Roman" w:hAnsi="Times New Roman" w:cs="Times New Roman"/>
          <w:color w:val="000000" w:themeColor="text1"/>
          <w:sz w:val="24"/>
          <w:szCs w:val="24"/>
        </w:rPr>
        <w:t xml:space="preserve">. godine izrađen je prema metodologiji propisanoj Zakonom o proračunu („Narodne novine“, broj </w:t>
      </w:r>
      <w:r w:rsidR="0084389E" w:rsidRPr="00EA0289">
        <w:rPr>
          <w:rFonts w:ascii="Times New Roman" w:hAnsi="Times New Roman" w:cs="Times New Roman"/>
          <w:color w:val="000000" w:themeColor="text1"/>
          <w:sz w:val="24"/>
          <w:szCs w:val="24"/>
        </w:rPr>
        <w:t>144/21)</w:t>
      </w:r>
      <w:r w:rsidR="008251BE" w:rsidRPr="00EA0289">
        <w:rPr>
          <w:rFonts w:ascii="Times New Roman" w:hAnsi="Times New Roman" w:cs="Times New Roman"/>
          <w:color w:val="000000" w:themeColor="text1"/>
          <w:sz w:val="24"/>
          <w:szCs w:val="24"/>
        </w:rPr>
        <w:t xml:space="preserve"> i podzakonskim aktima kojima se regulira provedba zakonskih rješenja, i to Pravilnikom o proračunskim klasifikacijama („Narodne novine“, broj 26/10, 120/13 i 01/20), Pravilnikom o proračunskom računovodstvu i Računskom planu („Narodne novine“, broj 124/14, 115/15 i 87/16, 3/18, 126/19 i 108/20) i Zakonom o fiskalnoj odgovornosti („Narodne novine“, 111/18). </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Sukladno Zakonu o proračunu, a na temelju Smjernica ekonomske i fiskalne politike za trogodišnje razdoblje, Ministarstvo financija sastavilo je Upute za izradu proračuna jedinica lokalne i područne (regional</w:t>
      </w:r>
      <w:r w:rsidR="0052118B">
        <w:rPr>
          <w:rFonts w:ascii="Times New Roman" w:hAnsi="Times New Roman" w:cs="Times New Roman"/>
          <w:color w:val="000000" w:themeColor="text1"/>
          <w:sz w:val="24"/>
          <w:szCs w:val="24"/>
        </w:rPr>
        <w:t>ne) samouprave za razdoblje 2026.-2028</w:t>
      </w:r>
      <w:r w:rsidRPr="00EA0289">
        <w:rPr>
          <w:rFonts w:ascii="Times New Roman" w:hAnsi="Times New Roman" w:cs="Times New Roman"/>
          <w:color w:val="000000" w:themeColor="text1"/>
          <w:sz w:val="24"/>
          <w:szCs w:val="24"/>
        </w:rPr>
        <w:t xml:space="preserve">. Na temelju dostavljenih uputa, Brodsko-posavska županija izradila je </w:t>
      </w:r>
      <w:r w:rsidRPr="00EA0289">
        <w:rPr>
          <w:rFonts w:ascii="Times New Roman" w:hAnsi="Times New Roman" w:cs="Times New Roman"/>
          <w:i/>
          <w:color w:val="000000" w:themeColor="text1"/>
          <w:sz w:val="24"/>
          <w:szCs w:val="24"/>
        </w:rPr>
        <w:t>Upute za izradu proračuna upravnih tijela i proračunskih korisnika proračuna Brodsko-pos</w:t>
      </w:r>
      <w:r w:rsidR="00371CCE">
        <w:rPr>
          <w:rFonts w:ascii="Times New Roman" w:hAnsi="Times New Roman" w:cs="Times New Roman"/>
          <w:i/>
          <w:color w:val="000000" w:themeColor="text1"/>
          <w:sz w:val="24"/>
          <w:szCs w:val="24"/>
        </w:rPr>
        <w:t>avske županije za razdoblje 2026.-2028</w:t>
      </w:r>
      <w:r w:rsidRPr="00EA0289">
        <w:rPr>
          <w:rFonts w:ascii="Times New Roman" w:hAnsi="Times New Roman" w:cs="Times New Roman"/>
          <w:i/>
          <w:color w:val="000000" w:themeColor="text1"/>
          <w:sz w:val="24"/>
          <w:szCs w:val="24"/>
        </w:rPr>
        <w:t>.</w:t>
      </w:r>
      <w:r w:rsidRPr="00EA0289">
        <w:rPr>
          <w:rFonts w:ascii="Times New Roman" w:hAnsi="Times New Roman" w:cs="Times New Roman"/>
          <w:color w:val="000000" w:themeColor="text1"/>
          <w:sz w:val="24"/>
          <w:szCs w:val="24"/>
        </w:rPr>
        <w:t xml:space="preserve"> </w:t>
      </w:r>
      <w:r w:rsidR="0084389E" w:rsidRPr="00EA0289">
        <w:rPr>
          <w:rFonts w:ascii="Times New Roman" w:hAnsi="Times New Roman" w:cs="Times New Roman"/>
          <w:color w:val="000000" w:themeColor="text1"/>
          <w:sz w:val="24"/>
          <w:szCs w:val="24"/>
        </w:rPr>
        <w:t>te ih dostavila</w:t>
      </w:r>
      <w:r w:rsidRPr="00EA0289">
        <w:rPr>
          <w:rFonts w:ascii="Times New Roman" w:hAnsi="Times New Roman" w:cs="Times New Roman"/>
          <w:color w:val="000000" w:themeColor="text1"/>
          <w:sz w:val="24"/>
          <w:szCs w:val="24"/>
        </w:rPr>
        <w:t xml:space="preserve"> na postupanje. </w:t>
      </w:r>
    </w:p>
    <w:p w:rsidR="008251BE" w:rsidRPr="00EA0289" w:rsidRDefault="0084389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Značajna novost u odnosu na stari Zakon o proračunu i dosadašnju praksu je razina ekonomske klasifikacije na kojoj se predlaže i usvaja plan za proračunsku godinu i projekcije za sljedeće dvije godine. Sukladno odredbama Zakona, proračunski korisnici prihode i primitke, rashode i izdat</w:t>
      </w:r>
      <w:r w:rsidR="002C6C18">
        <w:rPr>
          <w:rFonts w:ascii="Times New Roman" w:hAnsi="Times New Roman" w:cs="Times New Roman"/>
          <w:color w:val="000000" w:themeColor="text1"/>
          <w:sz w:val="24"/>
          <w:szCs w:val="24"/>
        </w:rPr>
        <w:t>ke za 2026</w:t>
      </w:r>
      <w:r w:rsidRPr="00EA0289">
        <w:rPr>
          <w:rFonts w:ascii="Times New Roman" w:hAnsi="Times New Roman" w:cs="Times New Roman"/>
          <w:color w:val="000000" w:themeColor="text1"/>
          <w:sz w:val="24"/>
          <w:szCs w:val="24"/>
        </w:rPr>
        <w:t>. godinu iskazuju na razini skupine (druga razina rač</w:t>
      </w:r>
      <w:r w:rsidR="002C6C18">
        <w:rPr>
          <w:rFonts w:ascii="Times New Roman" w:hAnsi="Times New Roman" w:cs="Times New Roman"/>
          <w:color w:val="000000" w:themeColor="text1"/>
          <w:sz w:val="24"/>
          <w:szCs w:val="24"/>
        </w:rPr>
        <w:t>unskog plana) isto kao i za 2027. i 2028</w:t>
      </w:r>
      <w:r w:rsidRPr="00EA0289">
        <w:rPr>
          <w:rFonts w:ascii="Times New Roman" w:hAnsi="Times New Roman" w:cs="Times New Roman"/>
          <w:color w:val="000000" w:themeColor="text1"/>
          <w:sz w:val="24"/>
          <w:szCs w:val="24"/>
        </w:rPr>
        <w:t>. godinu. Još jedna novost vezana je za usvajanje prijedloga financijskog plana od strane upravljačkih tijela. Naime, čl. 38. stavkom 2, i čl. 39. stavkom 2. novog Zakona o proračunu propisano je da čelnik proračunskog korisnika pr</w:t>
      </w:r>
      <w:r w:rsidR="00DE28F9" w:rsidRPr="00EA0289">
        <w:rPr>
          <w:rFonts w:ascii="Times New Roman" w:hAnsi="Times New Roman" w:cs="Times New Roman"/>
          <w:color w:val="000000" w:themeColor="text1"/>
          <w:sz w:val="24"/>
          <w:szCs w:val="24"/>
        </w:rPr>
        <w:t>i</w:t>
      </w:r>
      <w:r w:rsidRPr="00EA0289">
        <w:rPr>
          <w:rFonts w:ascii="Times New Roman" w:hAnsi="Times New Roman" w:cs="Times New Roman"/>
          <w:color w:val="000000" w:themeColor="text1"/>
          <w:sz w:val="24"/>
          <w:szCs w:val="24"/>
        </w:rPr>
        <w:t xml:space="preserve">je dostave prijedloga financijskog plana nadležnom upravnom tijelu, prijedlog financijskog plana obvezan je uputiti upravljačkom tijelu na usvajanje, ako je primjenjivo, u skladu s aktima kojima je uređen rad proračunskog korisnika. </w:t>
      </w:r>
    </w:p>
    <w:p w:rsidR="00375CAB" w:rsidRPr="00EA0289" w:rsidRDefault="008251BE" w:rsidP="008251BE">
      <w:pPr>
        <w:spacing w:line="276" w:lineRule="auto"/>
        <w:jc w:val="both"/>
        <w:rPr>
          <w:rFonts w:ascii="Times New Roman" w:hAnsi="Times New Roman" w:cs="Times New Roman"/>
          <w:sz w:val="24"/>
          <w:szCs w:val="24"/>
        </w:rPr>
      </w:pPr>
      <w:r w:rsidRPr="00EA0289">
        <w:rPr>
          <w:rFonts w:ascii="Times New Roman" w:hAnsi="Times New Roman" w:cs="Times New Roman"/>
          <w:color w:val="000000" w:themeColor="text1"/>
          <w:sz w:val="24"/>
          <w:szCs w:val="24"/>
        </w:rPr>
        <w:t xml:space="preserve">Financijski plan Gimnazije „Matija Mesić“ čine prihodi i primici te rashodi izdaci raspoređeni u programe koji se sastoje od aktivnosti i projekata, a iskazani </w:t>
      </w:r>
      <w:r w:rsidRPr="00EA0289">
        <w:rPr>
          <w:rFonts w:ascii="Times New Roman" w:hAnsi="Times New Roman" w:cs="Times New Roman"/>
          <w:sz w:val="24"/>
          <w:szCs w:val="24"/>
        </w:rPr>
        <w:t>su prema proračunskim klasifik</w:t>
      </w:r>
      <w:r w:rsidR="00672311" w:rsidRPr="00EA0289">
        <w:rPr>
          <w:rFonts w:ascii="Times New Roman" w:hAnsi="Times New Roman" w:cs="Times New Roman"/>
          <w:sz w:val="24"/>
          <w:szCs w:val="24"/>
        </w:rPr>
        <w:t>acijama. Obrazloženje</w:t>
      </w:r>
      <w:r w:rsidRPr="00EA0289">
        <w:rPr>
          <w:rFonts w:ascii="Times New Roman" w:hAnsi="Times New Roman" w:cs="Times New Roman"/>
          <w:sz w:val="24"/>
          <w:szCs w:val="24"/>
        </w:rPr>
        <w:t xml:space="preserve"> financijskog plana sadrži obrazloženje općeg</w:t>
      </w:r>
      <w:r w:rsidR="00375CAB" w:rsidRPr="00EA0289">
        <w:rPr>
          <w:rFonts w:ascii="Times New Roman" w:hAnsi="Times New Roman" w:cs="Times New Roman"/>
          <w:sz w:val="24"/>
          <w:szCs w:val="24"/>
        </w:rPr>
        <w:t xml:space="preserve"> i posebnog</w:t>
      </w:r>
      <w:r w:rsidRPr="00EA0289">
        <w:rPr>
          <w:rFonts w:ascii="Times New Roman" w:hAnsi="Times New Roman" w:cs="Times New Roman"/>
          <w:sz w:val="24"/>
          <w:szCs w:val="24"/>
        </w:rPr>
        <w:t xml:space="preserve"> dijela financijskog plana</w:t>
      </w:r>
      <w:r w:rsidR="00375CAB" w:rsidRPr="00EA0289">
        <w:rPr>
          <w:rFonts w:ascii="Times New Roman" w:hAnsi="Times New Roman" w:cs="Times New Roman"/>
          <w:sz w:val="24"/>
          <w:szCs w:val="24"/>
        </w:rPr>
        <w:t>. Obrazloženje općeg dijela financijskog plana proračunskog korisnika JLPRS sadrži:</w:t>
      </w:r>
    </w:p>
    <w:p w:rsidR="008251BE" w:rsidRPr="00EA0289" w:rsidRDefault="00375CAB" w:rsidP="00375CAB">
      <w:pPr>
        <w:pStyle w:val="Odlomakpopisa"/>
        <w:numPr>
          <w:ilvl w:val="0"/>
          <w:numId w:val="6"/>
        </w:numPr>
        <w:spacing w:line="276" w:lineRule="auto"/>
        <w:jc w:val="both"/>
        <w:rPr>
          <w:rFonts w:ascii="Times New Roman" w:hAnsi="Times New Roman" w:cs="Times New Roman"/>
          <w:sz w:val="24"/>
          <w:szCs w:val="24"/>
        </w:rPr>
      </w:pPr>
      <w:r w:rsidRPr="00EA0289">
        <w:rPr>
          <w:rFonts w:ascii="Times New Roman" w:hAnsi="Times New Roman" w:cs="Times New Roman"/>
          <w:sz w:val="24"/>
          <w:szCs w:val="24"/>
        </w:rPr>
        <w:lastRenderedPageBreak/>
        <w:t>Obrazloženje prihoda i rashoda, primitaka i izdataka</w:t>
      </w:r>
    </w:p>
    <w:p w:rsidR="00375CAB" w:rsidRPr="00EA0289" w:rsidRDefault="00375CAB" w:rsidP="00375CAB">
      <w:pPr>
        <w:pStyle w:val="Odlomakpopisa"/>
        <w:numPr>
          <w:ilvl w:val="0"/>
          <w:numId w:val="6"/>
        </w:numPr>
        <w:spacing w:line="276" w:lineRule="auto"/>
        <w:jc w:val="both"/>
        <w:rPr>
          <w:rFonts w:ascii="Times New Roman" w:hAnsi="Times New Roman" w:cs="Times New Roman"/>
          <w:sz w:val="24"/>
          <w:szCs w:val="24"/>
        </w:rPr>
      </w:pPr>
      <w:r w:rsidRPr="00EA0289">
        <w:rPr>
          <w:rFonts w:ascii="Times New Roman" w:hAnsi="Times New Roman" w:cs="Times New Roman"/>
          <w:sz w:val="24"/>
          <w:szCs w:val="24"/>
        </w:rPr>
        <w:t>Obrazloženje prenesenog manjka, odnosno viška financijskog plana, u slučaju da je isti planiran.</w:t>
      </w:r>
    </w:p>
    <w:p w:rsidR="00375CAB"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Opći dio financijskog plana sastoji se od</w:t>
      </w:r>
      <w:r w:rsidR="00375CAB" w:rsidRPr="00EA0289">
        <w:rPr>
          <w:rFonts w:ascii="Times New Roman" w:hAnsi="Times New Roman" w:cs="Times New Roman"/>
          <w:color w:val="000000" w:themeColor="text1"/>
          <w:sz w:val="24"/>
          <w:szCs w:val="24"/>
        </w:rPr>
        <w:t>:</w:t>
      </w:r>
    </w:p>
    <w:p w:rsidR="00EA0289" w:rsidRPr="00EA0289" w:rsidRDefault="00EA0289" w:rsidP="00EA0289">
      <w:pPr>
        <w:spacing w:line="240"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Sažetak računa prihoda i rashoda</w:t>
      </w:r>
    </w:p>
    <w:p w:rsidR="00EA0289" w:rsidRPr="00EA0289" w:rsidRDefault="00EA0289" w:rsidP="00EA0289">
      <w:pPr>
        <w:spacing w:line="240"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Račun prihoda i rashoda</w:t>
      </w:r>
    </w:p>
    <w:p w:rsidR="00EA0289" w:rsidRPr="00EA0289" w:rsidRDefault="00EA0289" w:rsidP="00EA0289">
      <w:pPr>
        <w:spacing w:line="240"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Račun financiranja</w:t>
      </w:r>
    </w:p>
    <w:p w:rsidR="00EA0289" w:rsidRPr="00EA0289" w:rsidRDefault="00EA0289" w:rsidP="00EA0289">
      <w:pPr>
        <w:spacing w:line="240"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Preneseni višak ili preneseni manjak prihoda nad rashodima</w:t>
      </w:r>
    </w:p>
    <w:p w:rsidR="00EA0289" w:rsidRPr="00EA0289" w:rsidRDefault="00EA0289" w:rsidP="00EA0289">
      <w:pPr>
        <w:spacing w:line="240"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 Višegodišnji plan uravnoteženja </w:t>
      </w:r>
    </w:p>
    <w:p w:rsidR="008251BE" w:rsidRPr="00EA0289" w:rsidRDefault="008251BE" w:rsidP="008251BE">
      <w:pPr>
        <w:spacing w:line="276" w:lineRule="auto"/>
        <w:jc w:val="both"/>
        <w:rPr>
          <w:rFonts w:ascii="Times New Roman" w:hAnsi="Times New Roman" w:cs="Times New Roman"/>
          <w:color w:val="000000" w:themeColor="text1"/>
          <w:sz w:val="24"/>
          <w:szCs w:val="24"/>
          <w:u w:val="single"/>
        </w:rPr>
      </w:pPr>
      <w:r w:rsidRPr="00EA0289">
        <w:rPr>
          <w:rFonts w:ascii="Times New Roman" w:hAnsi="Times New Roman" w:cs="Times New Roman"/>
          <w:color w:val="000000" w:themeColor="text1"/>
          <w:sz w:val="24"/>
          <w:szCs w:val="24"/>
          <w:u w:val="single"/>
        </w:rPr>
        <w:t xml:space="preserve">2. RAČUN PRIHODA I RASHODA </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Financijski plan Gimnazije „Matija Mesić“</w:t>
      </w:r>
      <w:r w:rsidR="0022607A" w:rsidRPr="00EA0289">
        <w:rPr>
          <w:rFonts w:ascii="Times New Roman" w:hAnsi="Times New Roman" w:cs="Times New Roman"/>
          <w:color w:val="000000" w:themeColor="text1"/>
          <w:sz w:val="24"/>
          <w:szCs w:val="24"/>
        </w:rPr>
        <w:t xml:space="preserve"> </w:t>
      </w:r>
      <w:r w:rsidR="00320065">
        <w:rPr>
          <w:rFonts w:ascii="Times New Roman" w:hAnsi="Times New Roman" w:cs="Times New Roman"/>
          <w:color w:val="000000" w:themeColor="text1"/>
          <w:sz w:val="24"/>
          <w:szCs w:val="24"/>
        </w:rPr>
        <w:t>za 2025</w:t>
      </w:r>
      <w:r w:rsidRPr="00EA0289">
        <w:rPr>
          <w:rFonts w:ascii="Times New Roman" w:hAnsi="Times New Roman" w:cs="Times New Roman"/>
          <w:color w:val="000000" w:themeColor="text1"/>
          <w:sz w:val="24"/>
          <w:szCs w:val="24"/>
        </w:rPr>
        <w:t xml:space="preserve">. godinu planiran je u iznosu od </w:t>
      </w:r>
      <w:r w:rsidR="00320065">
        <w:rPr>
          <w:rFonts w:ascii="Times New Roman" w:hAnsi="Times New Roman" w:cs="Times New Roman"/>
          <w:color w:val="000000" w:themeColor="text1"/>
          <w:sz w:val="24"/>
          <w:szCs w:val="24"/>
        </w:rPr>
        <w:t xml:space="preserve">3.146.327, 90 </w:t>
      </w:r>
      <w:r w:rsidR="000E2957" w:rsidRPr="00EA0289">
        <w:rPr>
          <w:rFonts w:ascii="Times New Roman" w:hAnsi="Times New Roman" w:cs="Times New Roman"/>
          <w:color w:val="000000" w:themeColor="text1"/>
          <w:sz w:val="24"/>
          <w:szCs w:val="24"/>
        </w:rPr>
        <w:t>EUR.</w:t>
      </w:r>
    </w:p>
    <w:p w:rsidR="008251BE" w:rsidRPr="00EA0289" w:rsidRDefault="00672311"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Strukturu F</w:t>
      </w:r>
      <w:r w:rsidR="008251BE" w:rsidRPr="00EA0289">
        <w:rPr>
          <w:rFonts w:ascii="Times New Roman" w:hAnsi="Times New Roman" w:cs="Times New Roman"/>
          <w:color w:val="000000" w:themeColor="text1"/>
          <w:sz w:val="24"/>
          <w:szCs w:val="24"/>
        </w:rPr>
        <w:t>inancijskog plana čine:</w:t>
      </w:r>
    </w:p>
    <w:p w:rsidR="008251BE" w:rsidRPr="00EA0289" w:rsidRDefault="008251BE" w:rsidP="008251BE">
      <w:pPr>
        <w:pStyle w:val="Odlomakpopisa"/>
        <w:numPr>
          <w:ilvl w:val="0"/>
          <w:numId w:val="1"/>
        </w:num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Prihodi poslovanja: </w:t>
      </w:r>
      <w:r w:rsidR="00320065">
        <w:rPr>
          <w:rFonts w:ascii="Times New Roman" w:hAnsi="Times New Roman" w:cs="Times New Roman"/>
          <w:color w:val="000000" w:themeColor="text1"/>
          <w:sz w:val="24"/>
          <w:szCs w:val="24"/>
        </w:rPr>
        <w:t>3.117.287,90</w:t>
      </w:r>
      <w:r w:rsidR="00F46DBA" w:rsidRPr="00EA0289">
        <w:rPr>
          <w:rFonts w:ascii="Times New Roman" w:hAnsi="Times New Roman" w:cs="Times New Roman"/>
          <w:color w:val="000000" w:themeColor="text1"/>
          <w:sz w:val="24"/>
          <w:szCs w:val="24"/>
        </w:rPr>
        <w:t xml:space="preserve"> EUR</w:t>
      </w:r>
    </w:p>
    <w:p w:rsidR="008251BE" w:rsidRPr="00EA0289" w:rsidRDefault="008251BE" w:rsidP="008251BE">
      <w:pPr>
        <w:pStyle w:val="Odlomakpopisa"/>
        <w:numPr>
          <w:ilvl w:val="0"/>
          <w:numId w:val="1"/>
        </w:num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Prihodi od prodaj</w:t>
      </w:r>
      <w:r w:rsidR="000E2957" w:rsidRPr="00EA0289">
        <w:rPr>
          <w:rFonts w:ascii="Times New Roman" w:hAnsi="Times New Roman" w:cs="Times New Roman"/>
          <w:color w:val="000000" w:themeColor="text1"/>
          <w:sz w:val="24"/>
          <w:szCs w:val="24"/>
        </w:rPr>
        <w:t xml:space="preserve">e nefinancijske imovine: </w:t>
      </w:r>
      <w:r w:rsidR="00F46DBA" w:rsidRPr="00EA0289">
        <w:rPr>
          <w:rFonts w:ascii="Times New Roman" w:hAnsi="Times New Roman" w:cs="Times New Roman"/>
          <w:color w:val="000000" w:themeColor="text1"/>
          <w:sz w:val="24"/>
          <w:szCs w:val="24"/>
        </w:rPr>
        <w:t>0,00 EUR</w:t>
      </w:r>
    </w:p>
    <w:p w:rsidR="008251BE" w:rsidRPr="00EA0289" w:rsidRDefault="000E2957" w:rsidP="008251BE">
      <w:pPr>
        <w:pStyle w:val="Odlomakpopisa"/>
        <w:numPr>
          <w:ilvl w:val="0"/>
          <w:numId w:val="1"/>
        </w:num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Rashodi poslovanja:</w:t>
      </w:r>
      <w:r w:rsidR="00F46DBA" w:rsidRPr="00EA0289">
        <w:rPr>
          <w:rFonts w:ascii="Times New Roman" w:hAnsi="Times New Roman" w:cs="Times New Roman"/>
          <w:color w:val="000000" w:themeColor="text1"/>
          <w:sz w:val="24"/>
          <w:szCs w:val="24"/>
        </w:rPr>
        <w:t xml:space="preserve"> </w:t>
      </w:r>
      <w:r w:rsidR="00320065">
        <w:rPr>
          <w:rFonts w:ascii="Times New Roman" w:hAnsi="Times New Roman" w:cs="Times New Roman"/>
          <w:color w:val="000000" w:themeColor="text1"/>
          <w:sz w:val="24"/>
          <w:szCs w:val="24"/>
        </w:rPr>
        <w:t xml:space="preserve">3.122.188,51 </w:t>
      </w:r>
      <w:r w:rsidR="00F46DBA" w:rsidRPr="00EA0289">
        <w:rPr>
          <w:rFonts w:ascii="Times New Roman" w:hAnsi="Times New Roman" w:cs="Times New Roman"/>
          <w:color w:val="000000" w:themeColor="text1"/>
          <w:sz w:val="24"/>
          <w:szCs w:val="24"/>
        </w:rPr>
        <w:t>EUR</w:t>
      </w:r>
    </w:p>
    <w:p w:rsidR="008251BE" w:rsidRPr="00EA0289" w:rsidRDefault="008251BE" w:rsidP="008251BE">
      <w:pPr>
        <w:pStyle w:val="Odlomakpopisa"/>
        <w:numPr>
          <w:ilvl w:val="0"/>
          <w:numId w:val="1"/>
        </w:num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Rashodi za nabavu nefinancijske imovine: </w:t>
      </w:r>
      <w:r w:rsidR="00320065">
        <w:rPr>
          <w:rFonts w:ascii="Times New Roman" w:hAnsi="Times New Roman" w:cs="Times New Roman"/>
          <w:color w:val="000000" w:themeColor="text1"/>
          <w:sz w:val="24"/>
          <w:szCs w:val="24"/>
        </w:rPr>
        <w:t xml:space="preserve">24.139,39 </w:t>
      </w:r>
      <w:r w:rsidR="00F46DBA" w:rsidRPr="00EA0289">
        <w:rPr>
          <w:rFonts w:ascii="Times New Roman" w:hAnsi="Times New Roman" w:cs="Times New Roman"/>
          <w:color w:val="000000" w:themeColor="text1"/>
          <w:sz w:val="24"/>
          <w:szCs w:val="24"/>
        </w:rPr>
        <w:t>EUR</w:t>
      </w:r>
    </w:p>
    <w:p w:rsidR="008251BE" w:rsidRPr="00EA0289" w:rsidRDefault="00C87936" w:rsidP="008251BE">
      <w:pPr>
        <w:pStyle w:val="Odlomakpopisa"/>
        <w:numPr>
          <w:ilvl w:val="0"/>
          <w:numId w:val="1"/>
        </w:num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Višak iz prethodne godine</w:t>
      </w:r>
      <w:r w:rsidR="00A662E7" w:rsidRPr="00EA0289">
        <w:rPr>
          <w:rFonts w:ascii="Times New Roman" w:hAnsi="Times New Roman" w:cs="Times New Roman"/>
          <w:color w:val="000000" w:themeColor="text1"/>
          <w:sz w:val="24"/>
          <w:szCs w:val="24"/>
        </w:rPr>
        <w:t xml:space="preserve">: </w:t>
      </w:r>
      <w:r w:rsidR="00320065">
        <w:rPr>
          <w:rFonts w:ascii="Times New Roman" w:hAnsi="Times New Roman" w:cs="Times New Roman"/>
          <w:color w:val="000000" w:themeColor="text1"/>
          <w:sz w:val="24"/>
          <w:szCs w:val="24"/>
        </w:rPr>
        <w:t>29.040,00</w:t>
      </w:r>
      <w:r w:rsidR="00F46DBA" w:rsidRPr="00EA0289">
        <w:rPr>
          <w:rFonts w:ascii="Times New Roman" w:hAnsi="Times New Roman" w:cs="Times New Roman"/>
          <w:color w:val="000000" w:themeColor="text1"/>
          <w:sz w:val="24"/>
          <w:szCs w:val="24"/>
        </w:rPr>
        <w:t xml:space="preserve"> EUR.</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2.1. Prihodi</w:t>
      </w:r>
    </w:p>
    <w:p w:rsidR="008251BE" w:rsidRPr="00EA0289" w:rsidRDefault="00FF6F52" w:rsidP="008251BE">
      <w:pPr>
        <w:spacing w:line="276" w:lineRule="auto"/>
        <w:jc w:val="both"/>
        <w:rPr>
          <w:rFonts w:ascii="Times New Roman" w:hAnsi="Times New Roman" w:cs="Times New Roman"/>
          <w:color w:val="000000" w:themeColor="text1"/>
          <w:sz w:val="24"/>
          <w:szCs w:val="24"/>
        </w:rPr>
      </w:pPr>
      <w:bookmarkStart w:id="1" w:name="_Hlk63016523"/>
      <w:r>
        <w:rPr>
          <w:rFonts w:ascii="Times New Roman" w:hAnsi="Times New Roman" w:cs="Times New Roman"/>
          <w:color w:val="000000" w:themeColor="text1"/>
          <w:sz w:val="24"/>
          <w:szCs w:val="24"/>
        </w:rPr>
        <w:t>Ukupni prihodi za 2026</w:t>
      </w:r>
      <w:r w:rsidR="008251BE" w:rsidRPr="00EA0289">
        <w:rPr>
          <w:rFonts w:ascii="Times New Roman" w:hAnsi="Times New Roman" w:cs="Times New Roman"/>
          <w:color w:val="000000" w:themeColor="text1"/>
          <w:sz w:val="24"/>
          <w:szCs w:val="24"/>
        </w:rPr>
        <w:t xml:space="preserve">.g. planirani su u iznosu </w:t>
      </w:r>
      <w:r>
        <w:rPr>
          <w:rFonts w:ascii="Times New Roman" w:hAnsi="Times New Roman" w:cs="Times New Roman"/>
          <w:color w:val="000000" w:themeColor="text1"/>
          <w:sz w:val="24"/>
          <w:szCs w:val="24"/>
        </w:rPr>
        <w:t>3.117.287,90</w:t>
      </w:r>
      <w:r w:rsidR="00A662E7" w:rsidRPr="00EA0289">
        <w:rPr>
          <w:rFonts w:ascii="Times New Roman" w:hAnsi="Times New Roman" w:cs="Times New Roman"/>
          <w:color w:val="000000" w:themeColor="text1"/>
          <w:sz w:val="24"/>
          <w:szCs w:val="24"/>
        </w:rPr>
        <w:t>EUR</w:t>
      </w:r>
      <w:r w:rsidR="008251BE" w:rsidRPr="00EA0289">
        <w:rPr>
          <w:rFonts w:ascii="Times New Roman" w:hAnsi="Times New Roman" w:cs="Times New Roman"/>
          <w:color w:val="000000" w:themeColor="text1"/>
          <w:sz w:val="24"/>
          <w:szCs w:val="24"/>
        </w:rPr>
        <w:t>. Pregled prihoda prema ekonomskoj klasifikaciji na razini skupine daje se u tabličnom prikazu:</w:t>
      </w:r>
    </w:p>
    <w:tbl>
      <w:tblPr>
        <w:tblStyle w:val="Reetkatablice"/>
        <w:tblW w:w="0" w:type="auto"/>
        <w:tblLook w:val="04A0" w:firstRow="1" w:lastRow="0" w:firstColumn="1" w:lastColumn="0" w:noHBand="0" w:noVBand="1"/>
      </w:tblPr>
      <w:tblGrid>
        <w:gridCol w:w="4149"/>
        <w:gridCol w:w="2225"/>
        <w:gridCol w:w="2552"/>
      </w:tblGrid>
      <w:tr w:rsidR="00A662E7" w:rsidRPr="00EA0289" w:rsidTr="00A662E7">
        <w:tc>
          <w:tcPr>
            <w:tcW w:w="4149" w:type="dxa"/>
          </w:tcPr>
          <w:p w:rsidR="00A662E7" w:rsidRPr="00EA0289" w:rsidRDefault="00A662E7" w:rsidP="00F46DBA">
            <w:pPr>
              <w:spacing w:line="276" w:lineRule="auto"/>
              <w:jc w:val="both"/>
              <w:rPr>
                <w:rFonts w:ascii="Times New Roman" w:hAnsi="Times New Roman" w:cs="Times New Roman"/>
                <w:b/>
                <w:color w:val="000000" w:themeColor="text1"/>
                <w:sz w:val="20"/>
                <w:szCs w:val="20"/>
              </w:rPr>
            </w:pPr>
            <w:bookmarkStart w:id="2" w:name="_Hlk62987946"/>
            <w:bookmarkEnd w:id="1"/>
            <w:r w:rsidRPr="00EA0289">
              <w:rPr>
                <w:rFonts w:ascii="Times New Roman" w:hAnsi="Times New Roman" w:cs="Times New Roman"/>
                <w:b/>
                <w:color w:val="000000" w:themeColor="text1"/>
                <w:sz w:val="20"/>
                <w:szCs w:val="20"/>
              </w:rPr>
              <w:t>Vrsta prihoda</w:t>
            </w:r>
          </w:p>
        </w:tc>
        <w:tc>
          <w:tcPr>
            <w:tcW w:w="2225" w:type="dxa"/>
          </w:tcPr>
          <w:p w:rsidR="00A662E7" w:rsidRPr="00EA0289" w:rsidRDefault="00A662E7" w:rsidP="00F46DBA">
            <w:pPr>
              <w:spacing w:line="276" w:lineRule="auto"/>
              <w:jc w:val="both"/>
              <w:rPr>
                <w:rFonts w:ascii="Times New Roman" w:hAnsi="Times New Roman" w:cs="Times New Roman"/>
                <w:color w:val="000000" w:themeColor="text1"/>
                <w:sz w:val="20"/>
                <w:szCs w:val="20"/>
              </w:rPr>
            </w:pPr>
            <w:r w:rsidRPr="00EA0289">
              <w:rPr>
                <w:rFonts w:ascii="Times New Roman" w:hAnsi="Times New Roman" w:cs="Times New Roman"/>
                <w:color w:val="000000" w:themeColor="text1"/>
                <w:sz w:val="20"/>
                <w:szCs w:val="20"/>
              </w:rPr>
              <w:t>Iznos (EUR)</w:t>
            </w:r>
          </w:p>
        </w:tc>
        <w:tc>
          <w:tcPr>
            <w:tcW w:w="2552" w:type="dxa"/>
          </w:tcPr>
          <w:p w:rsidR="00A662E7" w:rsidRPr="00AE7F44" w:rsidRDefault="00A662E7" w:rsidP="00F46DBA">
            <w:pPr>
              <w:spacing w:line="276" w:lineRule="auto"/>
              <w:jc w:val="both"/>
              <w:rPr>
                <w:rFonts w:ascii="Times New Roman" w:hAnsi="Times New Roman" w:cs="Times New Roman"/>
                <w:color w:val="000000" w:themeColor="text1"/>
                <w:sz w:val="20"/>
                <w:szCs w:val="20"/>
                <w:lang w:val="sv-SE"/>
              </w:rPr>
            </w:pPr>
            <w:r w:rsidRPr="00AE7F44">
              <w:rPr>
                <w:rFonts w:ascii="Times New Roman" w:hAnsi="Times New Roman" w:cs="Times New Roman"/>
                <w:color w:val="000000" w:themeColor="text1"/>
                <w:sz w:val="20"/>
                <w:szCs w:val="20"/>
                <w:lang w:val="sv-SE"/>
              </w:rPr>
              <w:t>Udio prihoda u strukturi ukupnih prihoda</w:t>
            </w:r>
          </w:p>
        </w:tc>
      </w:tr>
      <w:tr w:rsidR="00A662E7" w:rsidRPr="00EA0289" w:rsidTr="00A662E7">
        <w:tc>
          <w:tcPr>
            <w:tcW w:w="4149" w:type="dxa"/>
          </w:tcPr>
          <w:p w:rsidR="00A662E7" w:rsidRPr="00EA0289" w:rsidRDefault="00A662E7" w:rsidP="00F46DBA">
            <w:pPr>
              <w:spacing w:line="276" w:lineRule="auto"/>
              <w:jc w:val="both"/>
              <w:rPr>
                <w:rFonts w:ascii="Times New Roman" w:hAnsi="Times New Roman" w:cs="Times New Roman"/>
                <w:b/>
                <w:color w:val="000000" w:themeColor="text1"/>
                <w:sz w:val="20"/>
                <w:szCs w:val="20"/>
              </w:rPr>
            </w:pPr>
            <w:r w:rsidRPr="00EA0289">
              <w:rPr>
                <w:rFonts w:ascii="Times New Roman" w:hAnsi="Times New Roman" w:cs="Times New Roman"/>
                <w:b/>
                <w:color w:val="000000" w:themeColor="text1"/>
                <w:sz w:val="20"/>
                <w:szCs w:val="20"/>
              </w:rPr>
              <w:t>UKUPNI PRIHODI</w:t>
            </w:r>
          </w:p>
        </w:tc>
        <w:tc>
          <w:tcPr>
            <w:tcW w:w="2225" w:type="dxa"/>
          </w:tcPr>
          <w:p w:rsidR="00A662E7" w:rsidRPr="00EA0289" w:rsidRDefault="00FF6F52" w:rsidP="00F46DBA">
            <w:pPr>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3.117.287,90</w:t>
            </w:r>
          </w:p>
        </w:tc>
        <w:tc>
          <w:tcPr>
            <w:tcW w:w="2552" w:type="dxa"/>
          </w:tcPr>
          <w:p w:rsidR="00A662E7" w:rsidRPr="00EA0289" w:rsidRDefault="00E532DF" w:rsidP="00F46DBA">
            <w:pPr>
              <w:spacing w:line="276" w:lineRule="auto"/>
              <w:jc w:val="right"/>
              <w:rPr>
                <w:rFonts w:ascii="Times New Roman" w:hAnsi="Times New Roman" w:cs="Times New Roman"/>
                <w:b/>
                <w:bCs/>
                <w:sz w:val="20"/>
                <w:szCs w:val="20"/>
              </w:rPr>
            </w:pPr>
            <w:r w:rsidRPr="00EA0289">
              <w:rPr>
                <w:rFonts w:ascii="Times New Roman" w:hAnsi="Times New Roman" w:cs="Times New Roman"/>
                <w:b/>
                <w:bCs/>
                <w:sz w:val="20"/>
                <w:szCs w:val="20"/>
              </w:rPr>
              <w:t>100%</w:t>
            </w:r>
          </w:p>
        </w:tc>
      </w:tr>
      <w:tr w:rsidR="00A662E7" w:rsidRPr="00EA0289" w:rsidTr="00A662E7">
        <w:tc>
          <w:tcPr>
            <w:tcW w:w="4149" w:type="dxa"/>
          </w:tcPr>
          <w:p w:rsidR="00A662E7" w:rsidRPr="00EA0289" w:rsidRDefault="00A662E7" w:rsidP="00F46DBA">
            <w:pPr>
              <w:spacing w:line="276" w:lineRule="auto"/>
              <w:jc w:val="both"/>
              <w:rPr>
                <w:rFonts w:ascii="Times New Roman" w:hAnsi="Times New Roman" w:cs="Times New Roman"/>
                <w:b/>
                <w:color w:val="000000" w:themeColor="text1"/>
                <w:sz w:val="20"/>
                <w:szCs w:val="20"/>
              </w:rPr>
            </w:pPr>
            <w:r w:rsidRPr="00EA0289">
              <w:rPr>
                <w:rFonts w:ascii="Times New Roman" w:hAnsi="Times New Roman" w:cs="Times New Roman"/>
                <w:b/>
                <w:color w:val="000000" w:themeColor="text1"/>
                <w:sz w:val="20"/>
                <w:szCs w:val="20"/>
              </w:rPr>
              <w:t>1.PRIHODI POSLOVANJA</w:t>
            </w:r>
          </w:p>
        </w:tc>
        <w:tc>
          <w:tcPr>
            <w:tcW w:w="2225" w:type="dxa"/>
          </w:tcPr>
          <w:p w:rsidR="00A662E7" w:rsidRPr="00EA0289" w:rsidRDefault="00FF6F52" w:rsidP="00F46DBA">
            <w:pPr>
              <w:spacing w:line="276" w:lineRule="auto"/>
              <w:jc w:val="right"/>
              <w:rPr>
                <w:rFonts w:ascii="Times New Roman" w:hAnsi="Times New Roman" w:cs="Times New Roman"/>
                <w:b/>
                <w:bCs/>
                <w:sz w:val="20"/>
                <w:szCs w:val="20"/>
              </w:rPr>
            </w:pPr>
            <w:r>
              <w:rPr>
                <w:rFonts w:ascii="Times New Roman" w:hAnsi="Times New Roman" w:cs="Times New Roman"/>
                <w:b/>
                <w:bCs/>
                <w:sz w:val="20"/>
                <w:szCs w:val="20"/>
              </w:rPr>
              <w:t>3.117.287,90</w:t>
            </w:r>
          </w:p>
        </w:tc>
        <w:tc>
          <w:tcPr>
            <w:tcW w:w="2552" w:type="dxa"/>
          </w:tcPr>
          <w:p w:rsidR="00A662E7" w:rsidRPr="00EA0289" w:rsidRDefault="00E532DF" w:rsidP="00F46DBA">
            <w:pPr>
              <w:spacing w:line="276" w:lineRule="auto"/>
              <w:jc w:val="right"/>
              <w:rPr>
                <w:rFonts w:ascii="Times New Roman" w:hAnsi="Times New Roman" w:cs="Times New Roman"/>
                <w:b/>
                <w:bCs/>
                <w:sz w:val="20"/>
                <w:szCs w:val="20"/>
              </w:rPr>
            </w:pPr>
            <w:r w:rsidRPr="00EA0289">
              <w:rPr>
                <w:rFonts w:ascii="Times New Roman" w:hAnsi="Times New Roman" w:cs="Times New Roman"/>
                <w:b/>
                <w:bCs/>
                <w:sz w:val="20"/>
                <w:szCs w:val="20"/>
              </w:rPr>
              <w:t>100%</w:t>
            </w:r>
          </w:p>
        </w:tc>
      </w:tr>
      <w:tr w:rsidR="00A662E7" w:rsidRPr="00EA0289" w:rsidTr="00A662E7">
        <w:tc>
          <w:tcPr>
            <w:tcW w:w="4149" w:type="dxa"/>
          </w:tcPr>
          <w:p w:rsidR="00A662E7" w:rsidRPr="00AE7F44" w:rsidRDefault="00A662E7" w:rsidP="00F46DBA">
            <w:pPr>
              <w:spacing w:line="276" w:lineRule="auto"/>
              <w:rPr>
                <w:rFonts w:ascii="Times New Roman" w:hAnsi="Times New Roman" w:cs="Times New Roman"/>
                <w:color w:val="000000" w:themeColor="text1"/>
                <w:sz w:val="20"/>
                <w:szCs w:val="20"/>
                <w:lang w:val="hr-HR"/>
              </w:rPr>
            </w:pPr>
            <w:r w:rsidRPr="00AE7F44">
              <w:rPr>
                <w:rFonts w:ascii="Times New Roman" w:hAnsi="Times New Roman" w:cs="Times New Roman"/>
                <w:color w:val="000000" w:themeColor="text1"/>
                <w:sz w:val="20"/>
                <w:szCs w:val="20"/>
                <w:lang w:val="hr-HR"/>
              </w:rPr>
              <w:t>a) Pomoći iz inozemstva i od subjekata unutar općeg proračuna</w:t>
            </w:r>
          </w:p>
        </w:tc>
        <w:tc>
          <w:tcPr>
            <w:tcW w:w="2225" w:type="dxa"/>
          </w:tcPr>
          <w:p w:rsidR="00A662E7" w:rsidRPr="00EA0289" w:rsidRDefault="00FF6F52" w:rsidP="00CD49A0">
            <w:pPr>
              <w:spacing w:line="276" w:lineRule="auto"/>
              <w:jc w:val="right"/>
              <w:rPr>
                <w:rFonts w:ascii="Times New Roman" w:hAnsi="Times New Roman" w:cs="Times New Roman"/>
                <w:sz w:val="20"/>
                <w:szCs w:val="20"/>
              </w:rPr>
            </w:pPr>
            <w:r>
              <w:rPr>
                <w:rFonts w:ascii="Times New Roman" w:hAnsi="Times New Roman" w:cs="Times New Roman"/>
                <w:sz w:val="20"/>
                <w:szCs w:val="20"/>
              </w:rPr>
              <w:t>2.942.245,25</w:t>
            </w:r>
          </w:p>
        </w:tc>
        <w:tc>
          <w:tcPr>
            <w:tcW w:w="2552" w:type="dxa"/>
          </w:tcPr>
          <w:p w:rsidR="00A662E7" w:rsidRPr="00EA0289" w:rsidRDefault="00FF6F52" w:rsidP="00CD49A0">
            <w:pPr>
              <w:spacing w:line="276" w:lineRule="auto"/>
              <w:jc w:val="right"/>
              <w:rPr>
                <w:rFonts w:ascii="Times New Roman" w:hAnsi="Times New Roman" w:cs="Times New Roman"/>
                <w:sz w:val="20"/>
                <w:szCs w:val="20"/>
              </w:rPr>
            </w:pPr>
            <w:r>
              <w:rPr>
                <w:rFonts w:ascii="Times New Roman" w:hAnsi="Times New Roman" w:cs="Times New Roman"/>
                <w:sz w:val="20"/>
                <w:szCs w:val="20"/>
              </w:rPr>
              <w:t>94,38</w:t>
            </w:r>
            <w:r w:rsidR="00250FC5" w:rsidRPr="00EA0289">
              <w:rPr>
                <w:rFonts w:ascii="Times New Roman" w:hAnsi="Times New Roman" w:cs="Times New Roman"/>
                <w:sz w:val="20"/>
                <w:szCs w:val="20"/>
              </w:rPr>
              <w:t>%</w:t>
            </w:r>
          </w:p>
        </w:tc>
      </w:tr>
      <w:tr w:rsidR="00A662E7" w:rsidRPr="00EA0289" w:rsidTr="00A662E7">
        <w:tc>
          <w:tcPr>
            <w:tcW w:w="4149" w:type="dxa"/>
          </w:tcPr>
          <w:p w:rsidR="00A662E7" w:rsidRPr="00AE7F44" w:rsidRDefault="00A662E7" w:rsidP="00F46DBA">
            <w:pPr>
              <w:spacing w:line="276" w:lineRule="auto"/>
              <w:rPr>
                <w:rFonts w:ascii="Times New Roman" w:hAnsi="Times New Roman" w:cs="Times New Roman"/>
                <w:color w:val="000000" w:themeColor="text1"/>
                <w:sz w:val="20"/>
                <w:szCs w:val="20"/>
                <w:lang w:val="sv-SE"/>
              </w:rPr>
            </w:pPr>
            <w:r w:rsidRPr="00AE7F44">
              <w:rPr>
                <w:rFonts w:ascii="Times New Roman" w:hAnsi="Times New Roman" w:cs="Times New Roman"/>
                <w:color w:val="000000" w:themeColor="text1"/>
                <w:sz w:val="20"/>
                <w:szCs w:val="20"/>
                <w:lang w:val="sv-SE"/>
              </w:rPr>
              <w:t xml:space="preserve">b) Prihodi od upravnih i administrativnih pristojbi, pristojbi po posebnim propisima i naknada </w:t>
            </w:r>
          </w:p>
        </w:tc>
        <w:tc>
          <w:tcPr>
            <w:tcW w:w="2225" w:type="dxa"/>
          </w:tcPr>
          <w:p w:rsidR="00A662E7" w:rsidRPr="00EA0289" w:rsidRDefault="00FF6F52" w:rsidP="00F46DBA">
            <w:pPr>
              <w:spacing w:line="276" w:lineRule="auto"/>
              <w:jc w:val="right"/>
              <w:rPr>
                <w:rFonts w:ascii="Times New Roman" w:hAnsi="Times New Roman" w:cs="Times New Roman"/>
                <w:sz w:val="20"/>
                <w:szCs w:val="20"/>
              </w:rPr>
            </w:pPr>
            <w:r>
              <w:rPr>
                <w:rFonts w:ascii="Times New Roman" w:hAnsi="Times New Roman" w:cs="Times New Roman"/>
                <w:sz w:val="20"/>
                <w:szCs w:val="20"/>
              </w:rPr>
              <w:t>8.315,45</w:t>
            </w:r>
          </w:p>
        </w:tc>
        <w:tc>
          <w:tcPr>
            <w:tcW w:w="2552" w:type="dxa"/>
          </w:tcPr>
          <w:p w:rsidR="00A662E7" w:rsidRPr="00EA0289" w:rsidRDefault="00772663" w:rsidP="00F46DBA">
            <w:pPr>
              <w:spacing w:line="276" w:lineRule="auto"/>
              <w:jc w:val="right"/>
              <w:rPr>
                <w:rFonts w:ascii="Times New Roman" w:hAnsi="Times New Roman" w:cs="Times New Roman"/>
                <w:sz w:val="20"/>
                <w:szCs w:val="20"/>
              </w:rPr>
            </w:pPr>
            <w:r>
              <w:rPr>
                <w:rFonts w:ascii="Times New Roman" w:hAnsi="Times New Roman" w:cs="Times New Roman"/>
                <w:sz w:val="20"/>
                <w:szCs w:val="20"/>
              </w:rPr>
              <w:t>0,26</w:t>
            </w:r>
            <w:r w:rsidR="00250FC5" w:rsidRPr="00EA0289">
              <w:rPr>
                <w:rFonts w:ascii="Times New Roman" w:hAnsi="Times New Roman" w:cs="Times New Roman"/>
                <w:sz w:val="20"/>
                <w:szCs w:val="20"/>
              </w:rPr>
              <w:t>%</w:t>
            </w:r>
          </w:p>
        </w:tc>
      </w:tr>
      <w:tr w:rsidR="00A662E7" w:rsidRPr="00EA0289" w:rsidTr="00A662E7">
        <w:tc>
          <w:tcPr>
            <w:tcW w:w="4149" w:type="dxa"/>
          </w:tcPr>
          <w:p w:rsidR="00A662E7" w:rsidRPr="00AE7F44" w:rsidRDefault="00A662E7" w:rsidP="00F46DBA">
            <w:pPr>
              <w:spacing w:line="276" w:lineRule="auto"/>
              <w:rPr>
                <w:rFonts w:ascii="Times New Roman" w:hAnsi="Times New Roman" w:cs="Times New Roman"/>
                <w:color w:val="000000" w:themeColor="text1"/>
                <w:sz w:val="20"/>
                <w:szCs w:val="20"/>
                <w:lang w:val="sv-SE"/>
              </w:rPr>
            </w:pPr>
            <w:r w:rsidRPr="00AE7F44">
              <w:rPr>
                <w:rFonts w:ascii="Times New Roman" w:hAnsi="Times New Roman" w:cs="Times New Roman"/>
                <w:color w:val="000000" w:themeColor="text1"/>
                <w:sz w:val="20"/>
                <w:szCs w:val="20"/>
                <w:lang w:val="sv-SE"/>
              </w:rPr>
              <w:t>c) Prihodi od prodaje proizvoda i robe te pruženih usluga i prihodi od donacija</w:t>
            </w:r>
          </w:p>
        </w:tc>
        <w:tc>
          <w:tcPr>
            <w:tcW w:w="2225" w:type="dxa"/>
          </w:tcPr>
          <w:p w:rsidR="00A662E7" w:rsidRPr="00EA0289" w:rsidRDefault="00FF6F52" w:rsidP="00F46DBA">
            <w:pPr>
              <w:spacing w:line="276" w:lineRule="auto"/>
              <w:jc w:val="right"/>
              <w:rPr>
                <w:rFonts w:ascii="Times New Roman" w:hAnsi="Times New Roman" w:cs="Times New Roman"/>
                <w:sz w:val="20"/>
                <w:szCs w:val="20"/>
              </w:rPr>
            </w:pPr>
            <w:r>
              <w:rPr>
                <w:rFonts w:ascii="Times New Roman" w:hAnsi="Times New Roman" w:cs="Times New Roman"/>
                <w:sz w:val="20"/>
                <w:szCs w:val="20"/>
              </w:rPr>
              <w:t>29.188,69</w:t>
            </w:r>
          </w:p>
        </w:tc>
        <w:tc>
          <w:tcPr>
            <w:tcW w:w="2552" w:type="dxa"/>
          </w:tcPr>
          <w:p w:rsidR="00A662E7" w:rsidRPr="00EA0289" w:rsidRDefault="00772663" w:rsidP="00F46DBA">
            <w:pPr>
              <w:spacing w:line="276" w:lineRule="auto"/>
              <w:jc w:val="right"/>
              <w:rPr>
                <w:rFonts w:ascii="Times New Roman" w:hAnsi="Times New Roman" w:cs="Times New Roman"/>
                <w:sz w:val="20"/>
                <w:szCs w:val="20"/>
              </w:rPr>
            </w:pPr>
            <w:r>
              <w:rPr>
                <w:rFonts w:ascii="Times New Roman" w:hAnsi="Times New Roman" w:cs="Times New Roman"/>
                <w:sz w:val="20"/>
                <w:szCs w:val="20"/>
              </w:rPr>
              <w:t>0,93</w:t>
            </w:r>
            <w:r w:rsidR="00250FC5" w:rsidRPr="00EA0289">
              <w:rPr>
                <w:rFonts w:ascii="Times New Roman" w:hAnsi="Times New Roman" w:cs="Times New Roman"/>
                <w:sz w:val="20"/>
                <w:szCs w:val="20"/>
              </w:rPr>
              <w:t>%</w:t>
            </w:r>
          </w:p>
        </w:tc>
      </w:tr>
      <w:tr w:rsidR="00A662E7" w:rsidRPr="00EA0289" w:rsidTr="00A662E7">
        <w:tc>
          <w:tcPr>
            <w:tcW w:w="4149" w:type="dxa"/>
          </w:tcPr>
          <w:p w:rsidR="00A662E7" w:rsidRPr="00AE7F44" w:rsidRDefault="00A662E7" w:rsidP="00F46DBA">
            <w:pPr>
              <w:spacing w:line="276" w:lineRule="auto"/>
              <w:rPr>
                <w:rFonts w:ascii="Times New Roman" w:hAnsi="Times New Roman" w:cs="Times New Roman"/>
                <w:color w:val="000000" w:themeColor="text1"/>
                <w:sz w:val="20"/>
                <w:szCs w:val="20"/>
                <w:lang w:val="hr-HR"/>
              </w:rPr>
            </w:pPr>
            <w:r w:rsidRPr="00AE7F44">
              <w:rPr>
                <w:rFonts w:ascii="Times New Roman" w:hAnsi="Times New Roman" w:cs="Times New Roman"/>
                <w:color w:val="000000" w:themeColor="text1"/>
                <w:sz w:val="20"/>
                <w:szCs w:val="20"/>
                <w:lang w:val="hr-HR"/>
              </w:rPr>
              <w:t>d) Prihodi iz nadležnog proračuna i od HZZO-a na temelju ugovornih obveza</w:t>
            </w:r>
          </w:p>
        </w:tc>
        <w:tc>
          <w:tcPr>
            <w:tcW w:w="2225" w:type="dxa"/>
          </w:tcPr>
          <w:p w:rsidR="00A662E7" w:rsidRPr="00EA0289" w:rsidRDefault="00854ACE" w:rsidP="00F46DBA">
            <w:pPr>
              <w:spacing w:line="276" w:lineRule="auto"/>
              <w:jc w:val="right"/>
              <w:rPr>
                <w:rFonts w:ascii="Times New Roman" w:hAnsi="Times New Roman" w:cs="Times New Roman"/>
                <w:sz w:val="20"/>
                <w:szCs w:val="20"/>
              </w:rPr>
            </w:pPr>
            <w:r w:rsidRPr="00EA0289">
              <w:rPr>
                <w:rFonts w:ascii="Times New Roman" w:hAnsi="Times New Roman" w:cs="Times New Roman"/>
                <w:sz w:val="20"/>
                <w:szCs w:val="20"/>
              </w:rPr>
              <w:t>137.538,51</w:t>
            </w:r>
          </w:p>
        </w:tc>
        <w:tc>
          <w:tcPr>
            <w:tcW w:w="2552" w:type="dxa"/>
          </w:tcPr>
          <w:p w:rsidR="00A662E7" w:rsidRPr="00EA0289" w:rsidRDefault="00772663" w:rsidP="00F46DBA">
            <w:pPr>
              <w:spacing w:line="276" w:lineRule="auto"/>
              <w:jc w:val="right"/>
              <w:rPr>
                <w:rFonts w:ascii="Times New Roman" w:hAnsi="Times New Roman" w:cs="Times New Roman"/>
                <w:sz w:val="20"/>
                <w:szCs w:val="20"/>
              </w:rPr>
            </w:pPr>
            <w:r>
              <w:rPr>
                <w:rFonts w:ascii="Times New Roman" w:hAnsi="Times New Roman" w:cs="Times New Roman"/>
                <w:sz w:val="20"/>
                <w:szCs w:val="20"/>
              </w:rPr>
              <w:t>4,41</w:t>
            </w:r>
            <w:r w:rsidR="00250FC5" w:rsidRPr="00EA0289">
              <w:rPr>
                <w:rFonts w:ascii="Times New Roman" w:hAnsi="Times New Roman" w:cs="Times New Roman"/>
                <w:sz w:val="20"/>
                <w:szCs w:val="20"/>
              </w:rPr>
              <w:t>%</w:t>
            </w:r>
          </w:p>
        </w:tc>
      </w:tr>
      <w:tr w:rsidR="00A662E7" w:rsidRPr="00EA0289" w:rsidTr="00A662E7">
        <w:tc>
          <w:tcPr>
            <w:tcW w:w="4149" w:type="dxa"/>
          </w:tcPr>
          <w:p w:rsidR="00A662E7" w:rsidRPr="00EA0289" w:rsidRDefault="00A662E7" w:rsidP="00F46DBA">
            <w:pPr>
              <w:spacing w:line="276" w:lineRule="auto"/>
              <w:rPr>
                <w:rFonts w:ascii="Times New Roman" w:hAnsi="Times New Roman" w:cs="Times New Roman"/>
                <w:b/>
                <w:bCs/>
                <w:color w:val="000000" w:themeColor="text1"/>
                <w:sz w:val="20"/>
                <w:szCs w:val="20"/>
              </w:rPr>
            </w:pPr>
            <w:r w:rsidRPr="00EA0289">
              <w:rPr>
                <w:rFonts w:ascii="Times New Roman" w:hAnsi="Times New Roman" w:cs="Times New Roman"/>
                <w:b/>
                <w:bCs/>
                <w:color w:val="000000" w:themeColor="text1"/>
                <w:sz w:val="20"/>
                <w:szCs w:val="20"/>
              </w:rPr>
              <w:t>2.PRIHODI OD PRODAJE NEFINANCIJSKE IMOVINE</w:t>
            </w:r>
          </w:p>
        </w:tc>
        <w:tc>
          <w:tcPr>
            <w:tcW w:w="2225" w:type="dxa"/>
          </w:tcPr>
          <w:p w:rsidR="00A662E7" w:rsidRPr="00EA0289" w:rsidRDefault="00A662E7" w:rsidP="00F46DBA">
            <w:pPr>
              <w:spacing w:line="276" w:lineRule="auto"/>
              <w:jc w:val="right"/>
              <w:rPr>
                <w:rFonts w:ascii="Times New Roman" w:hAnsi="Times New Roman" w:cs="Times New Roman"/>
                <w:b/>
                <w:bCs/>
                <w:sz w:val="20"/>
                <w:szCs w:val="20"/>
              </w:rPr>
            </w:pPr>
            <w:r w:rsidRPr="00EA0289">
              <w:rPr>
                <w:rFonts w:ascii="Times New Roman" w:hAnsi="Times New Roman" w:cs="Times New Roman"/>
                <w:b/>
                <w:bCs/>
                <w:sz w:val="20"/>
                <w:szCs w:val="20"/>
              </w:rPr>
              <w:t>0,00</w:t>
            </w:r>
          </w:p>
          <w:p w:rsidR="00A662E7" w:rsidRPr="00EA0289" w:rsidRDefault="00A662E7" w:rsidP="00F46DBA">
            <w:pPr>
              <w:spacing w:line="276" w:lineRule="auto"/>
              <w:jc w:val="right"/>
              <w:rPr>
                <w:rFonts w:ascii="Times New Roman" w:hAnsi="Times New Roman" w:cs="Times New Roman"/>
                <w:b/>
                <w:bCs/>
                <w:sz w:val="20"/>
                <w:szCs w:val="20"/>
              </w:rPr>
            </w:pPr>
          </w:p>
        </w:tc>
        <w:tc>
          <w:tcPr>
            <w:tcW w:w="2552" w:type="dxa"/>
          </w:tcPr>
          <w:p w:rsidR="00A662E7" w:rsidRPr="00EA0289" w:rsidRDefault="00A662E7" w:rsidP="00F46DBA">
            <w:pPr>
              <w:spacing w:line="276" w:lineRule="auto"/>
              <w:jc w:val="right"/>
              <w:rPr>
                <w:rFonts w:ascii="Times New Roman" w:hAnsi="Times New Roman" w:cs="Times New Roman"/>
                <w:b/>
                <w:bCs/>
                <w:sz w:val="20"/>
                <w:szCs w:val="20"/>
              </w:rPr>
            </w:pPr>
            <w:r w:rsidRPr="00EA0289">
              <w:rPr>
                <w:rFonts w:ascii="Times New Roman" w:hAnsi="Times New Roman" w:cs="Times New Roman"/>
                <w:b/>
                <w:bCs/>
                <w:sz w:val="20"/>
                <w:szCs w:val="20"/>
              </w:rPr>
              <w:t>0,00%</w:t>
            </w:r>
          </w:p>
        </w:tc>
      </w:tr>
      <w:bookmarkEnd w:id="2"/>
    </w:tbl>
    <w:p w:rsidR="008251BE" w:rsidRPr="00EA0289" w:rsidRDefault="008251BE" w:rsidP="008251BE">
      <w:pPr>
        <w:spacing w:line="276" w:lineRule="auto"/>
        <w:jc w:val="both"/>
        <w:rPr>
          <w:rFonts w:ascii="Times New Roman" w:hAnsi="Times New Roman" w:cs="Times New Roman"/>
          <w:color w:val="000000" w:themeColor="text1"/>
          <w:sz w:val="24"/>
          <w:szCs w:val="24"/>
        </w:rPr>
      </w:pPr>
    </w:p>
    <w:p w:rsidR="005609BE" w:rsidRPr="00EA0289" w:rsidRDefault="005609BE" w:rsidP="008251BE">
      <w:pPr>
        <w:spacing w:line="276" w:lineRule="auto"/>
        <w:jc w:val="both"/>
        <w:rPr>
          <w:rFonts w:ascii="Times New Roman" w:hAnsi="Times New Roman" w:cs="Times New Roman"/>
          <w:color w:val="000000" w:themeColor="text1"/>
          <w:sz w:val="24"/>
          <w:szCs w:val="24"/>
        </w:rPr>
      </w:pPr>
    </w:p>
    <w:p w:rsidR="00460EA5" w:rsidRDefault="00460EA5" w:rsidP="008251BE">
      <w:pPr>
        <w:spacing w:line="276" w:lineRule="auto"/>
        <w:jc w:val="both"/>
        <w:rPr>
          <w:rFonts w:ascii="Times New Roman" w:hAnsi="Times New Roman" w:cs="Times New Roman"/>
          <w:color w:val="000000" w:themeColor="text1"/>
          <w:sz w:val="24"/>
          <w:szCs w:val="24"/>
        </w:rPr>
      </w:pP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lastRenderedPageBreak/>
        <w:t xml:space="preserve">Prema izvorima financiranja, prihodi </w:t>
      </w:r>
      <w:r w:rsidR="00D53736">
        <w:rPr>
          <w:rFonts w:ascii="Times New Roman" w:hAnsi="Times New Roman" w:cs="Times New Roman"/>
          <w:color w:val="000000" w:themeColor="text1"/>
          <w:sz w:val="24"/>
          <w:szCs w:val="24"/>
        </w:rPr>
        <w:t>za 2026</w:t>
      </w:r>
      <w:r w:rsidRPr="00EA0289">
        <w:rPr>
          <w:rFonts w:ascii="Times New Roman" w:hAnsi="Times New Roman" w:cs="Times New Roman"/>
          <w:color w:val="000000" w:themeColor="text1"/>
          <w:sz w:val="24"/>
          <w:szCs w:val="24"/>
        </w:rPr>
        <w:t xml:space="preserve">.g. planirani su kako slijedi: </w:t>
      </w:r>
    </w:p>
    <w:tbl>
      <w:tblPr>
        <w:tblStyle w:val="Reetkatablice"/>
        <w:tblW w:w="0" w:type="auto"/>
        <w:tblLook w:val="04A0" w:firstRow="1" w:lastRow="0" w:firstColumn="1" w:lastColumn="0" w:noHBand="0" w:noVBand="1"/>
      </w:tblPr>
      <w:tblGrid>
        <w:gridCol w:w="5665"/>
        <w:gridCol w:w="3261"/>
      </w:tblGrid>
      <w:tr w:rsidR="00A662E7" w:rsidRPr="00EA0289" w:rsidTr="00A662E7">
        <w:tc>
          <w:tcPr>
            <w:tcW w:w="5665" w:type="dxa"/>
          </w:tcPr>
          <w:p w:rsidR="00A662E7" w:rsidRPr="00EA0289" w:rsidRDefault="00A662E7"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Naziv prihoda</w:t>
            </w:r>
          </w:p>
        </w:tc>
        <w:tc>
          <w:tcPr>
            <w:tcW w:w="3261" w:type="dxa"/>
          </w:tcPr>
          <w:p w:rsidR="00A662E7" w:rsidRPr="00EA0289" w:rsidRDefault="00A662E7" w:rsidP="003F4F63">
            <w:pPr>
              <w:spacing w:line="276" w:lineRule="auto"/>
              <w:jc w:val="right"/>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Iznos (EUR)</w:t>
            </w:r>
          </w:p>
        </w:tc>
      </w:tr>
      <w:tr w:rsidR="00A662E7" w:rsidRPr="00EA0289" w:rsidTr="00A662E7">
        <w:tc>
          <w:tcPr>
            <w:tcW w:w="5665" w:type="dxa"/>
          </w:tcPr>
          <w:p w:rsidR="00A662E7" w:rsidRPr="00EA0289" w:rsidRDefault="00A662E7"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Opći prihodi i primici – županijski proračun</w:t>
            </w:r>
          </w:p>
        </w:tc>
        <w:tc>
          <w:tcPr>
            <w:tcW w:w="3261" w:type="dxa"/>
          </w:tcPr>
          <w:p w:rsidR="00A662E7" w:rsidRPr="00EA0289" w:rsidRDefault="00160BCE" w:rsidP="003F4F63">
            <w:pPr>
              <w:spacing w:line="276" w:lineRule="auto"/>
              <w:jc w:val="right"/>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137.538,51</w:t>
            </w:r>
          </w:p>
        </w:tc>
      </w:tr>
      <w:tr w:rsidR="00A662E7" w:rsidRPr="00EA0289" w:rsidTr="00A662E7">
        <w:tc>
          <w:tcPr>
            <w:tcW w:w="5665" w:type="dxa"/>
          </w:tcPr>
          <w:p w:rsidR="00A662E7" w:rsidRPr="00EA0289" w:rsidRDefault="00A662E7"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Vlastiti prihodi</w:t>
            </w:r>
          </w:p>
        </w:tc>
        <w:tc>
          <w:tcPr>
            <w:tcW w:w="3261" w:type="dxa"/>
          </w:tcPr>
          <w:p w:rsidR="00A662E7" w:rsidRPr="00EA0289" w:rsidRDefault="002A7F3E" w:rsidP="00F46DBA">
            <w:pPr>
              <w:spacing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9.038,69</w:t>
            </w:r>
          </w:p>
        </w:tc>
      </w:tr>
      <w:tr w:rsidR="00A662E7" w:rsidRPr="00EA0289" w:rsidTr="00A662E7">
        <w:tc>
          <w:tcPr>
            <w:tcW w:w="5665" w:type="dxa"/>
          </w:tcPr>
          <w:p w:rsidR="00A662E7" w:rsidRPr="00EA0289" w:rsidRDefault="00A662E7"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Prihodi za posebne namjene</w:t>
            </w:r>
          </w:p>
        </w:tc>
        <w:tc>
          <w:tcPr>
            <w:tcW w:w="3261" w:type="dxa"/>
          </w:tcPr>
          <w:p w:rsidR="00A662E7" w:rsidRPr="00EA0289" w:rsidRDefault="002A7F3E" w:rsidP="00F46DBA">
            <w:pPr>
              <w:spacing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8.315,45</w:t>
            </w:r>
          </w:p>
        </w:tc>
      </w:tr>
      <w:tr w:rsidR="00A662E7" w:rsidRPr="00EA0289" w:rsidTr="00A662E7">
        <w:tc>
          <w:tcPr>
            <w:tcW w:w="5665" w:type="dxa"/>
          </w:tcPr>
          <w:p w:rsidR="00A662E7" w:rsidRPr="00EA0289" w:rsidRDefault="00A662E7"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Pomoći</w:t>
            </w:r>
          </w:p>
        </w:tc>
        <w:tc>
          <w:tcPr>
            <w:tcW w:w="3261" w:type="dxa"/>
          </w:tcPr>
          <w:p w:rsidR="00A662E7" w:rsidRPr="00EA0289" w:rsidRDefault="00D53736" w:rsidP="00F46DBA">
            <w:pPr>
              <w:spacing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2.942.245,25</w:t>
            </w:r>
          </w:p>
        </w:tc>
      </w:tr>
      <w:tr w:rsidR="00A662E7" w:rsidRPr="00EA0289" w:rsidTr="00A662E7">
        <w:tc>
          <w:tcPr>
            <w:tcW w:w="5665" w:type="dxa"/>
          </w:tcPr>
          <w:p w:rsidR="00A662E7" w:rsidRPr="00EA0289" w:rsidRDefault="00A662E7"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Donacije</w:t>
            </w:r>
          </w:p>
        </w:tc>
        <w:tc>
          <w:tcPr>
            <w:tcW w:w="3261" w:type="dxa"/>
          </w:tcPr>
          <w:p w:rsidR="00A662E7" w:rsidRPr="00EA0289" w:rsidRDefault="00D53736" w:rsidP="00F46DBA">
            <w:pPr>
              <w:spacing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20.150,00</w:t>
            </w:r>
          </w:p>
        </w:tc>
      </w:tr>
      <w:tr w:rsidR="00A662E7" w:rsidRPr="00EA0289" w:rsidTr="00A662E7">
        <w:tc>
          <w:tcPr>
            <w:tcW w:w="5665" w:type="dxa"/>
          </w:tcPr>
          <w:p w:rsidR="00A662E7" w:rsidRPr="00EA0289" w:rsidRDefault="00A662E7" w:rsidP="00F46DBA">
            <w:pPr>
              <w:spacing w:line="276" w:lineRule="auto"/>
              <w:jc w:val="both"/>
              <w:rPr>
                <w:rFonts w:ascii="Times New Roman" w:hAnsi="Times New Roman" w:cs="Times New Roman"/>
                <w:b/>
                <w:sz w:val="24"/>
                <w:szCs w:val="24"/>
              </w:rPr>
            </w:pPr>
            <w:r w:rsidRPr="00EA0289">
              <w:rPr>
                <w:rFonts w:ascii="Times New Roman" w:hAnsi="Times New Roman" w:cs="Times New Roman"/>
                <w:b/>
                <w:sz w:val="24"/>
                <w:szCs w:val="24"/>
              </w:rPr>
              <w:t>Ukupno</w:t>
            </w:r>
          </w:p>
        </w:tc>
        <w:tc>
          <w:tcPr>
            <w:tcW w:w="3261" w:type="dxa"/>
          </w:tcPr>
          <w:p w:rsidR="00A662E7" w:rsidRPr="00EA0289" w:rsidRDefault="00D53736" w:rsidP="00F46DBA">
            <w:pPr>
              <w:spacing w:line="276" w:lineRule="auto"/>
              <w:jc w:val="right"/>
              <w:rPr>
                <w:rFonts w:ascii="Times New Roman" w:hAnsi="Times New Roman" w:cs="Times New Roman"/>
                <w:b/>
                <w:sz w:val="24"/>
                <w:szCs w:val="24"/>
              </w:rPr>
            </w:pPr>
            <w:r>
              <w:rPr>
                <w:rFonts w:ascii="Times New Roman" w:hAnsi="Times New Roman" w:cs="Times New Roman"/>
                <w:b/>
                <w:sz w:val="24"/>
                <w:szCs w:val="24"/>
              </w:rPr>
              <w:t>3.117.287,90</w:t>
            </w:r>
          </w:p>
        </w:tc>
      </w:tr>
    </w:tbl>
    <w:p w:rsidR="008251BE" w:rsidRPr="00EA0289" w:rsidRDefault="008251BE" w:rsidP="008251BE">
      <w:pPr>
        <w:spacing w:line="276" w:lineRule="auto"/>
        <w:jc w:val="both"/>
        <w:rPr>
          <w:rFonts w:ascii="Times New Roman" w:hAnsi="Times New Roman" w:cs="Times New Roman"/>
          <w:color w:val="000000" w:themeColor="text1"/>
          <w:sz w:val="24"/>
          <w:szCs w:val="24"/>
        </w:rPr>
      </w:pPr>
    </w:p>
    <w:p w:rsidR="008251BE" w:rsidRPr="00EA0289" w:rsidRDefault="008251BE" w:rsidP="008251BE">
      <w:pPr>
        <w:spacing w:line="276" w:lineRule="auto"/>
        <w:jc w:val="both"/>
        <w:rPr>
          <w:rFonts w:ascii="Times New Roman" w:hAnsi="Times New Roman" w:cs="Times New Roman"/>
          <w:color w:val="000000" w:themeColor="text1"/>
          <w:sz w:val="24"/>
          <w:szCs w:val="24"/>
        </w:rPr>
      </w:pPr>
      <w:bookmarkStart w:id="3" w:name="_Hlk63017114"/>
      <w:r w:rsidRPr="00EA0289">
        <w:rPr>
          <w:rFonts w:ascii="Times New Roman" w:hAnsi="Times New Roman" w:cs="Times New Roman"/>
          <w:color w:val="000000" w:themeColor="text1"/>
          <w:sz w:val="24"/>
          <w:szCs w:val="24"/>
        </w:rPr>
        <w:t xml:space="preserve">Prihodi za </w:t>
      </w:r>
      <w:r w:rsidR="00F763DB">
        <w:rPr>
          <w:rFonts w:ascii="Times New Roman" w:hAnsi="Times New Roman" w:cs="Times New Roman"/>
          <w:color w:val="000000" w:themeColor="text1"/>
          <w:sz w:val="24"/>
          <w:szCs w:val="24"/>
        </w:rPr>
        <w:t>2027</w:t>
      </w:r>
      <w:r w:rsidRPr="00EA0289">
        <w:rPr>
          <w:rFonts w:ascii="Times New Roman" w:hAnsi="Times New Roman" w:cs="Times New Roman"/>
          <w:color w:val="000000" w:themeColor="text1"/>
          <w:sz w:val="24"/>
          <w:szCs w:val="24"/>
        </w:rPr>
        <w:t>. i 202</w:t>
      </w:r>
      <w:r w:rsidR="00F763DB">
        <w:rPr>
          <w:rFonts w:ascii="Times New Roman" w:hAnsi="Times New Roman" w:cs="Times New Roman"/>
          <w:color w:val="000000" w:themeColor="text1"/>
          <w:sz w:val="24"/>
          <w:szCs w:val="24"/>
        </w:rPr>
        <w:t>8</w:t>
      </w:r>
      <w:r w:rsidRPr="00EA0289">
        <w:rPr>
          <w:rFonts w:ascii="Times New Roman" w:hAnsi="Times New Roman" w:cs="Times New Roman"/>
          <w:color w:val="000000" w:themeColor="text1"/>
          <w:sz w:val="24"/>
          <w:szCs w:val="24"/>
        </w:rPr>
        <w:t>. go</w:t>
      </w:r>
      <w:r w:rsidR="00151C09" w:rsidRPr="00EA0289">
        <w:rPr>
          <w:rFonts w:ascii="Times New Roman" w:hAnsi="Times New Roman" w:cs="Times New Roman"/>
          <w:color w:val="000000" w:themeColor="text1"/>
          <w:sz w:val="24"/>
          <w:szCs w:val="24"/>
        </w:rPr>
        <w:t>dinu planirani su na</w:t>
      </w:r>
      <w:r w:rsidR="00642ED2" w:rsidRPr="00EA0289">
        <w:rPr>
          <w:rFonts w:ascii="Times New Roman" w:hAnsi="Times New Roman" w:cs="Times New Roman"/>
          <w:color w:val="000000" w:themeColor="text1"/>
          <w:sz w:val="24"/>
          <w:szCs w:val="24"/>
        </w:rPr>
        <w:t xml:space="preserve"> bazi planiranih rashoda za </w:t>
      </w:r>
      <w:r w:rsidR="00F763DB">
        <w:rPr>
          <w:rFonts w:ascii="Times New Roman" w:hAnsi="Times New Roman" w:cs="Times New Roman"/>
          <w:color w:val="000000" w:themeColor="text1"/>
          <w:sz w:val="24"/>
          <w:szCs w:val="24"/>
        </w:rPr>
        <w:t>2026</w:t>
      </w:r>
      <w:r w:rsidR="00697805">
        <w:rPr>
          <w:rFonts w:ascii="Times New Roman" w:hAnsi="Times New Roman" w:cs="Times New Roman"/>
          <w:color w:val="000000" w:themeColor="text1"/>
          <w:sz w:val="24"/>
          <w:szCs w:val="24"/>
        </w:rPr>
        <w:t>.</w:t>
      </w:r>
      <w:r w:rsidR="003F4F63" w:rsidRPr="00EA0289">
        <w:rPr>
          <w:rFonts w:ascii="Times New Roman" w:hAnsi="Times New Roman" w:cs="Times New Roman"/>
          <w:color w:val="000000" w:themeColor="text1"/>
          <w:sz w:val="24"/>
          <w:szCs w:val="24"/>
        </w:rPr>
        <w:t>g</w:t>
      </w:r>
      <w:r w:rsidR="00697805">
        <w:rPr>
          <w:rFonts w:ascii="Times New Roman" w:hAnsi="Times New Roman" w:cs="Times New Roman"/>
          <w:color w:val="000000" w:themeColor="text1"/>
          <w:sz w:val="24"/>
          <w:szCs w:val="24"/>
        </w:rPr>
        <w:t>odinu</w:t>
      </w:r>
      <w:r w:rsidR="003F4F63" w:rsidRPr="00EA0289">
        <w:rPr>
          <w:rFonts w:ascii="Times New Roman" w:hAnsi="Times New Roman" w:cs="Times New Roman"/>
          <w:color w:val="000000" w:themeColor="text1"/>
          <w:sz w:val="24"/>
          <w:szCs w:val="24"/>
        </w:rPr>
        <w:t xml:space="preserve"> obzirom da se ne planira preneseni rezultat za projekcijske godine.</w:t>
      </w:r>
    </w:p>
    <w:bookmarkEnd w:id="3"/>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2.1.1. Prihodi poslovanja</w:t>
      </w:r>
    </w:p>
    <w:p w:rsidR="008251BE" w:rsidRPr="00EA0289" w:rsidRDefault="00F763DB" w:rsidP="008251B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Prihodi poslovanja za 2026</w:t>
      </w:r>
      <w:r w:rsidR="008251BE" w:rsidRPr="00EA0289">
        <w:rPr>
          <w:rFonts w:ascii="Times New Roman" w:hAnsi="Times New Roman" w:cs="Times New Roman"/>
          <w:color w:val="000000" w:themeColor="text1"/>
          <w:sz w:val="24"/>
          <w:szCs w:val="24"/>
        </w:rPr>
        <w:t xml:space="preserve">.g. planirani su u iznosu od </w:t>
      </w:r>
      <w:r>
        <w:rPr>
          <w:rFonts w:ascii="Times New Roman" w:hAnsi="Times New Roman" w:cs="Times New Roman"/>
          <w:color w:val="000000" w:themeColor="text1"/>
          <w:sz w:val="24"/>
          <w:szCs w:val="24"/>
        </w:rPr>
        <w:t>3.117.287,90</w:t>
      </w:r>
      <w:r w:rsidR="00A662E7" w:rsidRPr="00EA0289">
        <w:rPr>
          <w:rFonts w:ascii="Times New Roman" w:hAnsi="Times New Roman" w:cs="Times New Roman"/>
          <w:color w:val="000000" w:themeColor="text1"/>
          <w:sz w:val="24"/>
          <w:szCs w:val="24"/>
        </w:rPr>
        <w:t xml:space="preserve"> EUR</w:t>
      </w:r>
      <w:r w:rsidR="008251BE" w:rsidRPr="00EA0289">
        <w:rPr>
          <w:rFonts w:ascii="Times New Roman" w:hAnsi="Times New Roman" w:cs="Times New Roman"/>
          <w:color w:val="000000" w:themeColor="text1"/>
          <w:sz w:val="24"/>
          <w:szCs w:val="24"/>
        </w:rPr>
        <w:t>.</w:t>
      </w:r>
    </w:p>
    <w:p w:rsidR="00151C09"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color w:val="000000" w:themeColor="text1"/>
          <w:sz w:val="24"/>
          <w:szCs w:val="24"/>
        </w:rPr>
        <w:t xml:space="preserve">Prihodi iz inozemstva i od subjekata unutar općeg proračuna </w:t>
      </w:r>
      <w:r w:rsidRPr="00EA0289">
        <w:rPr>
          <w:rFonts w:ascii="Times New Roman" w:hAnsi="Times New Roman" w:cs="Times New Roman"/>
          <w:color w:val="000000" w:themeColor="text1"/>
          <w:sz w:val="24"/>
          <w:szCs w:val="24"/>
        </w:rPr>
        <w:t xml:space="preserve">planiraju se u iznosu od </w:t>
      </w:r>
      <w:r w:rsidR="00F763DB">
        <w:rPr>
          <w:rFonts w:ascii="Times New Roman" w:hAnsi="Times New Roman" w:cs="Times New Roman"/>
          <w:color w:val="000000" w:themeColor="text1"/>
          <w:sz w:val="24"/>
          <w:szCs w:val="24"/>
        </w:rPr>
        <w:t>2.942.245,25</w:t>
      </w:r>
      <w:r w:rsidR="007D1AD0" w:rsidRPr="00EA0289">
        <w:rPr>
          <w:rFonts w:ascii="Times New Roman" w:hAnsi="Times New Roman" w:cs="Times New Roman"/>
          <w:color w:val="000000" w:themeColor="text1"/>
          <w:sz w:val="24"/>
          <w:szCs w:val="24"/>
        </w:rPr>
        <w:t xml:space="preserve"> EUR</w:t>
      </w:r>
      <w:r w:rsidRPr="00EA0289">
        <w:rPr>
          <w:rFonts w:ascii="Times New Roman" w:hAnsi="Times New Roman" w:cs="Times New Roman"/>
          <w:color w:val="000000" w:themeColor="text1"/>
          <w:sz w:val="24"/>
          <w:szCs w:val="24"/>
        </w:rPr>
        <w:t xml:space="preserve"> i u strukturi ukupnih prihoda čine </w:t>
      </w:r>
      <w:r w:rsidR="00F763DB">
        <w:rPr>
          <w:rFonts w:ascii="Times New Roman" w:hAnsi="Times New Roman" w:cs="Times New Roman"/>
          <w:color w:val="000000" w:themeColor="text1"/>
          <w:sz w:val="24"/>
          <w:szCs w:val="24"/>
        </w:rPr>
        <w:t>94,38</w:t>
      </w:r>
      <w:r w:rsidRPr="00EA0289">
        <w:rPr>
          <w:rFonts w:ascii="Times New Roman" w:hAnsi="Times New Roman" w:cs="Times New Roman"/>
          <w:color w:val="000000" w:themeColor="text1"/>
          <w:sz w:val="24"/>
          <w:szCs w:val="24"/>
        </w:rPr>
        <w:t xml:space="preserve">%. Najvećim dijelom odnose se na pomoći proračunskim korisnicima iz proračuna koji im nije nadležan, a riječ je sredstvima planiranim za financiranje rashoda za zaposlene koji se isplaćuju iz državnog proračuna. </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color w:val="000000" w:themeColor="text1"/>
          <w:sz w:val="24"/>
          <w:szCs w:val="24"/>
        </w:rPr>
        <w:t>Prihodi od upravnih i administrativnih pristojbi, pristojbi po posebnim propisima i naknada</w:t>
      </w:r>
      <w:r w:rsidRPr="00EA0289">
        <w:rPr>
          <w:rFonts w:ascii="Times New Roman" w:hAnsi="Times New Roman" w:cs="Times New Roman"/>
          <w:color w:val="000000" w:themeColor="text1"/>
          <w:sz w:val="24"/>
          <w:szCs w:val="24"/>
        </w:rPr>
        <w:t xml:space="preserve"> planiraju se u iznosu o</w:t>
      </w:r>
      <w:r w:rsidR="00642ED2" w:rsidRPr="00EA0289">
        <w:rPr>
          <w:rFonts w:ascii="Times New Roman" w:hAnsi="Times New Roman" w:cs="Times New Roman"/>
          <w:color w:val="000000" w:themeColor="text1"/>
          <w:sz w:val="24"/>
          <w:szCs w:val="24"/>
        </w:rPr>
        <w:t>d</w:t>
      </w:r>
      <w:r w:rsidR="007D1AD0" w:rsidRPr="00EA0289">
        <w:rPr>
          <w:rFonts w:ascii="Times New Roman" w:hAnsi="Times New Roman" w:cs="Times New Roman"/>
          <w:color w:val="000000" w:themeColor="text1"/>
          <w:sz w:val="24"/>
          <w:szCs w:val="24"/>
        </w:rPr>
        <w:t xml:space="preserve"> </w:t>
      </w:r>
      <w:r w:rsidR="00F763DB">
        <w:rPr>
          <w:rFonts w:ascii="Times New Roman" w:hAnsi="Times New Roman" w:cs="Times New Roman"/>
          <w:color w:val="000000" w:themeColor="text1"/>
          <w:sz w:val="24"/>
          <w:szCs w:val="24"/>
        </w:rPr>
        <w:t xml:space="preserve">8.35,45 </w:t>
      </w:r>
      <w:r w:rsidR="000E2957" w:rsidRPr="00EA0289">
        <w:rPr>
          <w:rFonts w:ascii="Times New Roman" w:hAnsi="Times New Roman" w:cs="Times New Roman"/>
          <w:color w:val="000000" w:themeColor="text1"/>
          <w:sz w:val="24"/>
          <w:szCs w:val="24"/>
        </w:rPr>
        <w:t>EUR</w:t>
      </w:r>
      <w:r w:rsidRPr="00EA0289">
        <w:rPr>
          <w:rFonts w:ascii="Times New Roman" w:hAnsi="Times New Roman" w:cs="Times New Roman"/>
          <w:color w:val="000000" w:themeColor="text1"/>
          <w:sz w:val="24"/>
          <w:szCs w:val="24"/>
        </w:rPr>
        <w:t xml:space="preserve">, a u strukturi ukupnih prihoda čine </w:t>
      </w:r>
      <w:r w:rsidR="00F763DB">
        <w:rPr>
          <w:rFonts w:ascii="Times New Roman" w:hAnsi="Times New Roman" w:cs="Times New Roman"/>
          <w:color w:val="000000" w:themeColor="text1"/>
          <w:sz w:val="24"/>
          <w:szCs w:val="24"/>
        </w:rPr>
        <w:t>0,26</w:t>
      </w:r>
      <w:r w:rsidRPr="00EA0289">
        <w:rPr>
          <w:rFonts w:ascii="Times New Roman" w:hAnsi="Times New Roman" w:cs="Times New Roman"/>
          <w:color w:val="000000" w:themeColor="text1"/>
          <w:sz w:val="24"/>
          <w:szCs w:val="24"/>
        </w:rPr>
        <w:t xml:space="preserve">%. Riječ je o prihodima po posebnim propisima koji se odnose na ostale nespomenute prihode, a koje najvećim dijelom čine prihodi od </w:t>
      </w:r>
      <w:r w:rsidR="00151C09" w:rsidRPr="00EA0289">
        <w:rPr>
          <w:rFonts w:ascii="Times New Roman" w:hAnsi="Times New Roman" w:cs="Times New Roman"/>
          <w:color w:val="000000" w:themeColor="text1"/>
          <w:sz w:val="24"/>
          <w:szCs w:val="24"/>
        </w:rPr>
        <w:t>sufinanciran</w:t>
      </w:r>
      <w:r w:rsidR="007D1AD0" w:rsidRPr="00EA0289">
        <w:rPr>
          <w:rFonts w:ascii="Times New Roman" w:hAnsi="Times New Roman" w:cs="Times New Roman"/>
          <w:color w:val="000000" w:themeColor="text1"/>
          <w:sz w:val="24"/>
          <w:szCs w:val="24"/>
        </w:rPr>
        <w:t>ja ekskurzija, prihode od uplata</w:t>
      </w:r>
      <w:r w:rsidR="00151C09" w:rsidRPr="00EA0289">
        <w:rPr>
          <w:rFonts w:ascii="Times New Roman" w:hAnsi="Times New Roman" w:cs="Times New Roman"/>
          <w:color w:val="000000" w:themeColor="text1"/>
          <w:sz w:val="24"/>
          <w:szCs w:val="24"/>
        </w:rPr>
        <w:t xml:space="preserve"> ovjera svjedodžbi te raznih refundacija.</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color w:val="000000" w:themeColor="text1"/>
          <w:sz w:val="24"/>
          <w:szCs w:val="24"/>
        </w:rPr>
        <w:t xml:space="preserve">Prihodi od prodaje proizvoda i robe te pruženih usluga i prihodi od donacija </w:t>
      </w:r>
      <w:r w:rsidR="00A662E7" w:rsidRPr="00EA0289">
        <w:rPr>
          <w:rFonts w:ascii="Times New Roman" w:hAnsi="Times New Roman" w:cs="Times New Roman"/>
          <w:color w:val="000000" w:themeColor="text1"/>
          <w:sz w:val="24"/>
          <w:szCs w:val="24"/>
        </w:rPr>
        <w:t xml:space="preserve">planiraju se u iznosu od </w:t>
      </w:r>
      <w:r w:rsidR="00C95A47">
        <w:rPr>
          <w:rFonts w:ascii="Times New Roman" w:hAnsi="Times New Roman" w:cs="Times New Roman"/>
          <w:color w:val="000000" w:themeColor="text1"/>
          <w:sz w:val="24"/>
          <w:szCs w:val="24"/>
        </w:rPr>
        <w:t xml:space="preserve">29.188,69 </w:t>
      </w:r>
      <w:r w:rsidR="000E2957" w:rsidRPr="00EA0289">
        <w:rPr>
          <w:rFonts w:ascii="Times New Roman" w:hAnsi="Times New Roman" w:cs="Times New Roman"/>
          <w:color w:val="000000" w:themeColor="text1"/>
          <w:sz w:val="24"/>
          <w:szCs w:val="24"/>
        </w:rPr>
        <w:t xml:space="preserve">EUR </w:t>
      </w:r>
      <w:r w:rsidRPr="00EA0289">
        <w:rPr>
          <w:rFonts w:ascii="Times New Roman" w:hAnsi="Times New Roman" w:cs="Times New Roman"/>
          <w:color w:val="000000" w:themeColor="text1"/>
          <w:sz w:val="24"/>
          <w:szCs w:val="24"/>
        </w:rPr>
        <w:t xml:space="preserve">i u strukturi ukupnih prihoda </w:t>
      </w:r>
      <w:r w:rsidR="00C95A47">
        <w:rPr>
          <w:rFonts w:ascii="Times New Roman" w:hAnsi="Times New Roman" w:cs="Times New Roman"/>
          <w:color w:val="000000" w:themeColor="text1"/>
          <w:sz w:val="24"/>
          <w:szCs w:val="24"/>
        </w:rPr>
        <w:t>čine 0,93</w:t>
      </w:r>
      <w:r w:rsidRPr="00EA0289">
        <w:rPr>
          <w:rFonts w:ascii="Times New Roman" w:hAnsi="Times New Roman" w:cs="Times New Roman"/>
          <w:color w:val="000000" w:themeColor="text1"/>
          <w:sz w:val="24"/>
          <w:szCs w:val="24"/>
        </w:rPr>
        <w:t xml:space="preserve">%. </w:t>
      </w:r>
      <w:r w:rsidR="004A6259" w:rsidRPr="00EA0289">
        <w:rPr>
          <w:rFonts w:ascii="Times New Roman" w:hAnsi="Times New Roman" w:cs="Times New Roman"/>
          <w:color w:val="000000" w:themeColor="text1"/>
          <w:sz w:val="24"/>
          <w:szCs w:val="24"/>
        </w:rPr>
        <w:t>Stjecanje i n</w:t>
      </w:r>
      <w:r w:rsidRPr="00EA0289">
        <w:rPr>
          <w:rFonts w:ascii="Times New Roman" w:hAnsi="Times New Roman" w:cs="Times New Roman"/>
          <w:color w:val="000000" w:themeColor="text1"/>
          <w:sz w:val="24"/>
          <w:szCs w:val="24"/>
        </w:rPr>
        <w:t>aplata prihoda od prodaje proizvoda i robe te pruženih usluga uređena je Pravilnikom o stjecanju i korištenju vlastitih prihoda ostvarenih obavljanjem poslova na tržištu</w:t>
      </w:r>
      <w:r w:rsidR="004A6259" w:rsidRPr="00EA0289">
        <w:rPr>
          <w:rFonts w:ascii="Times New Roman" w:hAnsi="Times New Roman" w:cs="Times New Roman"/>
          <w:color w:val="000000" w:themeColor="text1"/>
          <w:sz w:val="24"/>
          <w:szCs w:val="24"/>
        </w:rPr>
        <w:t xml:space="preserve"> Gimnazije „Matija Mesić“</w:t>
      </w:r>
      <w:r w:rsidRPr="00EA0289">
        <w:rPr>
          <w:rFonts w:ascii="Times New Roman" w:hAnsi="Times New Roman" w:cs="Times New Roman"/>
          <w:color w:val="000000" w:themeColor="text1"/>
          <w:sz w:val="24"/>
          <w:szCs w:val="24"/>
        </w:rPr>
        <w:t xml:space="preserve">, a </w:t>
      </w:r>
      <w:r w:rsidR="00151C09" w:rsidRPr="00EA0289">
        <w:rPr>
          <w:rFonts w:ascii="Times New Roman" w:hAnsi="Times New Roman" w:cs="Times New Roman"/>
          <w:color w:val="000000" w:themeColor="text1"/>
          <w:sz w:val="24"/>
          <w:szCs w:val="24"/>
        </w:rPr>
        <w:t>riječ je o prihodima od najma školskog prostora</w:t>
      </w:r>
      <w:r w:rsidRPr="00EA0289">
        <w:rPr>
          <w:rFonts w:ascii="Times New Roman" w:hAnsi="Times New Roman" w:cs="Times New Roman"/>
          <w:color w:val="000000" w:themeColor="text1"/>
          <w:sz w:val="24"/>
          <w:szCs w:val="24"/>
        </w:rPr>
        <w:t>. Prihodi od donacija obuhvaćaju donacije od fizičkih i pravnih osoba izvan o</w:t>
      </w:r>
      <w:r w:rsidR="00151C09" w:rsidRPr="00EA0289">
        <w:rPr>
          <w:rFonts w:ascii="Times New Roman" w:hAnsi="Times New Roman" w:cs="Times New Roman"/>
          <w:color w:val="000000" w:themeColor="text1"/>
          <w:sz w:val="24"/>
          <w:szCs w:val="24"/>
        </w:rPr>
        <w:t>pćeg proračuna i čine manji dio</w:t>
      </w:r>
      <w:r w:rsidRPr="00EA0289">
        <w:rPr>
          <w:rFonts w:ascii="Times New Roman" w:hAnsi="Times New Roman" w:cs="Times New Roman"/>
          <w:color w:val="000000" w:themeColor="text1"/>
          <w:sz w:val="24"/>
          <w:szCs w:val="24"/>
        </w:rPr>
        <w:t xml:space="preserve"> u skupini koja je predmetom opisa.</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iCs/>
          <w:color w:val="000000" w:themeColor="text1"/>
          <w:sz w:val="24"/>
          <w:szCs w:val="24"/>
        </w:rPr>
        <w:t>Prihodi iz nadležnog proračuna i od HZZO-a na temelju ugovornih obveza</w:t>
      </w:r>
      <w:r w:rsidRPr="00EA0289">
        <w:rPr>
          <w:rFonts w:ascii="Times New Roman" w:hAnsi="Times New Roman" w:cs="Times New Roman"/>
          <w:color w:val="000000" w:themeColor="text1"/>
          <w:sz w:val="24"/>
          <w:szCs w:val="24"/>
        </w:rPr>
        <w:t xml:space="preserve"> planirani su u iznosu od </w:t>
      </w:r>
      <w:r w:rsidR="00642ED2" w:rsidRPr="00EA0289">
        <w:rPr>
          <w:rFonts w:ascii="Times New Roman" w:hAnsi="Times New Roman" w:cs="Times New Roman"/>
          <w:color w:val="000000" w:themeColor="text1"/>
          <w:sz w:val="24"/>
          <w:szCs w:val="24"/>
        </w:rPr>
        <w:t>137.538,51</w:t>
      </w:r>
      <w:r w:rsidR="000E2957" w:rsidRPr="00EA0289">
        <w:rPr>
          <w:rFonts w:ascii="Times New Roman" w:hAnsi="Times New Roman" w:cs="Times New Roman"/>
          <w:color w:val="000000" w:themeColor="text1"/>
          <w:sz w:val="24"/>
          <w:szCs w:val="24"/>
        </w:rPr>
        <w:t xml:space="preserve"> EUR</w:t>
      </w:r>
      <w:r w:rsidRPr="00EA0289">
        <w:rPr>
          <w:rFonts w:ascii="Times New Roman" w:hAnsi="Times New Roman" w:cs="Times New Roman"/>
          <w:color w:val="000000" w:themeColor="text1"/>
          <w:sz w:val="24"/>
          <w:szCs w:val="24"/>
        </w:rPr>
        <w:t xml:space="preserve"> i čine </w:t>
      </w:r>
      <w:r w:rsidR="004434D9">
        <w:rPr>
          <w:rFonts w:ascii="Times New Roman" w:hAnsi="Times New Roman" w:cs="Times New Roman"/>
          <w:color w:val="000000" w:themeColor="text1"/>
          <w:sz w:val="24"/>
          <w:szCs w:val="24"/>
        </w:rPr>
        <w:t>4,41</w:t>
      </w:r>
      <w:r w:rsidRPr="00EA0289">
        <w:rPr>
          <w:rFonts w:ascii="Times New Roman" w:hAnsi="Times New Roman" w:cs="Times New Roman"/>
          <w:color w:val="000000" w:themeColor="text1"/>
          <w:sz w:val="24"/>
          <w:szCs w:val="24"/>
        </w:rPr>
        <w:t xml:space="preserve"> ukupnih prihoda. Ostvaruju se iz županijskog proračuna temeljem Odluke o </w:t>
      </w:r>
      <w:r w:rsidR="004A6259" w:rsidRPr="00EA0289">
        <w:rPr>
          <w:rFonts w:ascii="Times New Roman" w:hAnsi="Times New Roman" w:cs="Times New Roman"/>
          <w:color w:val="000000" w:themeColor="text1"/>
          <w:sz w:val="24"/>
          <w:szCs w:val="24"/>
        </w:rPr>
        <w:t>kriterijima i mjerilima za utvrđivanje bilančnih prava za financiranje minimalnog financijskog standarda javn</w:t>
      </w:r>
      <w:r w:rsidR="00642ED2" w:rsidRPr="00EA0289">
        <w:rPr>
          <w:rFonts w:ascii="Times New Roman" w:hAnsi="Times New Roman" w:cs="Times New Roman"/>
          <w:color w:val="000000" w:themeColor="text1"/>
          <w:sz w:val="24"/>
          <w:szCs w:val="24"/>
        </w:rPr>
        <w:t>ih potreba srednjih škola u 2023</w:t>
      </w:r>
      <w:r w:rsidR="004A6259" w:rsidRPr="00EA0289">
        <w:rPr>
          <w:rFonts w:ascii="Times New Roman" w:hAnsi="Times New Roman" w:cs="Times New Roman"/>
          <w:color w:val="000000" w:themeColor="text1"/>
          <w:sz w:val="24"/>
          <w:szCs w:val="24"/>
        </w:rPr>
        <w:t>. godini na području Brodsko-posavske županije</w:t>
      </w:r>
      <w:r w:rsidRPr="00EA0289">
        <w:rPr>
          <w:rFonts w:ascii="Times New Roman" w:hAnsi="Times New Roman" w:cs="Times New Roman"/>
          <w:color w:val="000000" w:themeColor="text1"/>
          <w:sz w:val="24"/>
          <w:szCs w:val="24"/>
        </w:rPr>
        <w:t>, a koriste se za pokriće rashoda za redovno poslovanje.</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2.1.2. Prihodi </w:t>
      </w:r>
      <w:r w:rsidRPr="00EA0289">
        <w:rPr>
          <w:rFonts w:ascii="Times New Roman" w:hAnsi="Times New Roman" w:cs="Times New Roman"/>
          <w:sz w:val="24"/>
          <w:szCs w:val="24"/>
        </w:rPr>
        <w:t xml:space="preserve">od prodaje nefinancijske </w:t>
      </w:r>
      <w:r w:rsidRPr="00EA0289">
        <w:rPr>
          <w:rFonts w:ascii="Times New Roman" w:hAnsi="Times New Roman" w:cs="Times New Roman"/>
          <w:color w:val="000000" w:themeColor="text1"/>
          <w:sz w:val="24"/>
          <w:szCs w:val="24"/>
        </w:rPr>
        <w:t>imovine</w:t>
      </w:r>
    </w:p>
    <w:p w:rsidR="008251BE"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Prihodi od prodaje nefinancijske imovine nisu planirani financijskim planom za razdoblje</w:t>
      </w:r>
      <w:r w:rsidR="0020514A">
        <w:rPr>
          <w:rFonts w:ascii="Times New Roman" w:hAnsi="Times New Roman" w:cs="Times New Roman"/>
          <w:color w:val="000000" w:themeColor="text1"/>
          <w:sz w:val="24"/>
          <w:szCs w:val="24"/>
        </w:rPr>
        <w:t xml:space="preserve"> 2026</w:t>
      </w:r>
      <w:r w:rsidRPr="00EA0289">
        <w:rPr>
          <w:rFonts w:ascii="Times New Roman" w:hAnsi="Times New Roman" w:cs="Times New Roman"/>
          <w:color w:val="000000" w:themeColor="text1"/>
          <w:sz w:val="24"/>
          <w:szCs w:val="24"/>
        </w:rPr>
        <w:t>.</w:t>
      </w:r>
      <w:r w:rsidR="0020514A">
        <w:rPr>
          <w:rFonts w:ascii="Times New Roman" w:hAnsi="Times New Roman" w:cs="Times New Roman"/>
          <w:color w:val="000000" w:themeColor="text1"/>
          <w:sz w:val="24"/>
          <w:szCs w:val="24"/>
        </w:rPr>
        <w:t>-2028</w:t>
      </w:r>
      <w:r w:rsidRPr="00EA0289">
        <w:rPr>
          <w:rFonts w:ascii="Times New Roman" w:hAnsi="Times New Roman" w:cs="Times New Roman"/>
          <w:color w:val="000000" w:themeColor="text1"/>
          <w:sz w:val="24"/>
          <w:szCs w:val="24"/>
        </w:rPr>
        <w:t>.g.</w:t>
      </w:r>
    </w:p>
    <w:p w:rsidR="00697805" w:rsidRPr="00EA0289" w:rsidRDefault="00697805" w:rsidP="008251BE">
      <w:pPr>
        <w:spacing w:line="276" w:lineRule="auto"/>
        <w:jc w:val="both"/>
        <w:rPr>
          <w:rFonts w:ascii="Times New Roman" w:hAnsi="Times New Roman" w:cs="Times New Roman"/>
          <w:color w:val="000000" w:themeColor="text1"/>
          <w:sz w:val="24"/>
          <w:szCs w:val="24"/>
        </w:rPr>
      </w:pP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lastRenderedPageBreak/>
        <w:t>2.2. Rashodi</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Ukupni rashodi</w:t>
      </w:r>
      <w:r w:rsidR="00412F29">
        <w:rPr>
          <w:rFonts w:ascii="Times New Roman" w:hAnsi="Times New Roman" w:cs="Times New Roman"/>
          <w:color w:val="000000" w:themeColor="text1"/>
          <w:sz w:val="24"/>
          <w:szCs w:val="24"/>
        </w:rPr>
        <w:t xml:space="preserve"> za 2026</w:t>
      </w:r>
      <w:r w:rsidRPr="00EA0289">
        <w:rPr>
          <w:rFonts w:ascii="Times New Roman" w:hAnsi="Times New Roman" w:cs="Times New Roman"/>
          <w:color w:val="000000" w:themeColor="text1"/>
          <w:sz w:val="24"/>
          <w:szCs w:val="24"/>
        </w:rPr>
        <w:t xml:space="preserve">.g. planirani su u iznosu </w:t>
      </w:r>
      <w:r w:rsidR="00412F29">
        <w:rPr>
          <w:rFonts w:ascii="Times New Roman" w:hAnsi="Times New Roman" w:cs="Times New Roman"/>
          <w:color w:val="000000" w:themeColor="text1"/>
          <w:sz w:val="24"/>
          <w:szCs w:val="24"/>
        </w:rPr>
        <w:t xml:space="preserve">3.146.327,90 </w:t>
      </w:r>
      <w:r w:rsidR="00E86681" w:rsidRPr="00EA0289">
        <w:rPr>
          <w:rFonts w:ascii="Times New Roman" w:hAnsi="Times New Roman" w:cs="Times New Roman"/>
          <w:color w:val="000000" w:themeColor="text1"/>
          <w:sz w:val="24"/>
          <w:szCs w:val="24"/>
        </w:rPr>
        <w:t>EUR</w:t>
      </w:r>
      <w:r w:rsidR="00972A46" w:rsidRPr="00EA0289">
        <w:rPr>
          <w:rFonts w:ascii="Times New Roman" w:hAnsi="Times New Roman" w:cs="Times New Roman"/>
          <w:color w:val="000000" w:themeColor="text1"/>
          <w:sz w:val="24"/>
          <w:szCs w:val="24"/>
        </w:rPr>
        <w:t>. Pregled rashoda</w:t>
      </w:r>
      <w:r w:rsidRPr="00EA0289">
        <w:rPr>
          <w:rFonts w:ascii="Times New Roman" w:hAnsi="Times New Roman" w:cs="Times New Roman"/>
          <w:color w:val="000000" w:themeColor="text1"/>
          <w:sz w:val="24"/>
          <w:szCs w:val="24"/>
        </w:rPr>
        <w:t xml:space="preserve"> prema ekonomskoj klasifikaciji na razini skupine daje se u tabličnom prikazu:</w:t>
      </w:r>
    </w:p>
    <w:p w:rsidR="00972A46" w:rsidRPr="00EA0289" w:rsidRDefault="00972A46" w:rsidP="008251BE">
      <w:pPr>
        <w:spacing w:line="276" w:lineRule="auto"/>
        <w:jc w:val="both"/>
        <w:rPr>
          <w:rFonts w:ascii="Times New Roman" w:hAnsi="Times New Roman" w:cs="Times New Roman"/>
          <w:color w:val="000000" w:themeColor="text1"/>
          <w:sz w:val="24"/>
          <w:szCs w:val="24"/>
        </w:rPr>
      </w:pPr>
    </w:p>
    <w:tbl>
      <w:tblPr>
        <w:tblStyle w:val="Reetkatablice"/>
        <w:tblW w:w="0" w:type="auto"/>
        <w:tblLook w:val="04A0" w:firstRow="1" w:lastRow="0" w:firstColumn="1" w:lastColumn="0" w:noHBand="0" w:noVBand="1"/>
      </w:tblPr>
      <w:tblGrid>
        <w:gridCol w:w="5951"/>
        <w:gridCol w:w="1589"/>
        <w:gridCol w:w="1522"/>
      </w:tblGrid>
      <w:tr w:rsidR="008251BE" w:rsidRPr="00EA0289" w:rsidTr="00F46DBA">
        <w:tc>
          <w:tcPr>
            <w:tcW w:w="6200" w:type="dxa"/>
          </w:tcPr>
          <w:p w:rsidR="008251BE" w:rsidRPr="00EA0289" w:rsidRDefault="008251BE" w:rsidP="00F46DBA">
            <w:pPr>
              <w:spacing w:line="276" w:lineRule="auto"/>
              <w:jc w:val="both"/>
              <w:rPr>
                <w:rFonts w:ascii="Times New Roman" w:hAnsi="Times New Roman" w:cs="Times New Roman"/>
                <w:b/>
                <w:color w:val="000000" w:themeColor="text1"/>
                <w:sz w:val="24"/>
                <w:szCs w:val="24"/>
              </w:rPr>
            </w:pPr>
            <w:r w:rsidRPr="00EA0289">
              <w:rPr>
                <w:rFonts w:ascii="Times New Roman" w:hAnsi="Times New Roman" w:cs="Times New Roman"/>
                <w:b/>
                <w:color w:val="000000" w:themeColor="text1"/>
                <w:sz w:val="24"/>
                <w:szCs w:val="24"/>
              </w:rPr>
              <w:t>Vrsta rashoda</w:t>
            </w:r>
          </w:p>
        </w:tc>
        <w:tc>
          <w:tcPr>
            <w:tcW w:w="1596" w:type="dxa"/>
          </w:tcPr>
          <w:p w:rsidR="008251BE" w:rsidRPr="00EA0289" w:rsidRDefault="008251BE"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Iznos</w:t>
            </w:r>
          </w:p>
        </w:tc>
        <w:tc>
          <w:tcPr>
            <w:tcW w:w="1554" w:type="dxa"/>
          </w:tcPr>
          <w:p w:rsidR="008251BE" w:rsidRPr="00AE7F44" w:rsidRDefault="00972A46" w:rsidP="00972A46">
            <w:pPr>
              <w:spacing w:line="276" w:lineRule="auto"/>
              <w:jc w:val="both"/>
              <w:rPr>
                <w:rFonts w:ascii="Times New Roman" w:hAnsi="Times New Roman" w:cs="Times New Roman"/>
                <w:color w:val="000000" w:themeColor="text1"/>
                <w:sz w:val="24"/>
                <w:szCs w:val="24"/>
                <w:lang w:val="sv-SE"/>
              </w:rPr>
            </w:pPr>
            <w:r w:rsidRPr="00AE7F44">
              <w:rPr>
                <w:rFonts w:ascii="Times New Roman" w:hAnsi="Times New Roman" w:cs="Times New Roman"/>
                <w:color w:val="000000" w:themeColor="text1"/>
                <w:sz w:val="24"/>
                <w:szCs w:val="24"/>
                <w:lang w:val="sv-SE"/>
              </w:rPr>
              <w:t>Udio rashoda</w:t>
            </w:r>
            <w:r w:rsidR="008251BE" w:rsidRPr="00AE7F44">
              <w:rPr>
                <w:rFonts w:ascii="Times New Roman" w:hAnsi="Times New Roman" w:cs="Times New Roman"/>
                <w:color w:val="000000" w:themeColor="text1"/>
                <w:sz w:val="24"/>
                <w:szCs w:val="24"/>
                <w:lang w:val="sv-SE"/>
              </w:rPr>
              <w:t xml:space="preserve"> u strukturi ukupnih </w:t>
            </w:r>
            <w:r w:rsidRPr="00AE7F44">
              <w:rPr>
                <w:rFonts w:ascii="Times New Roman" w:hAnsi="Times New Roman" w:cs="Times New Roman"/>
                <w:color w:val="000000" w:themeColor="text1"/>
                <w:sz w:val="24"/>
                <w:szCs w:val="24"/>
                <w:lang w:val="sv-SE"/>
              </w:rPr>
              <w:t>rashoda</w:t>
            </w:r>
          </w:p>
        </w:tc>
      </w:tr>
      <w:tr w:rsidR="004676A3" w:rsidRPr="00EA0289" w:rsidTr="00F46DBA">
        <w:tc>
          <w:tcPr>
            <w:tcW w:w="6200" w:type="dxa"/>
          </w:tcPr>
          <w:p w:rsidR="008251BE" w:rsidRPr="00EA0289" w:rsidRDefault="008251BE" w:rsidP="00F46DBA">
            <w:pPr>
              <w:spacing w:line="276" w:lineRule="auto"/>
              <w:jc w:val="both"/>
              <w:rPr>
                <w:rFonts w:ascii="Times New Roman" w:hAnsi="Times New Roman" w:cs="Times New Roman"/>
                <w:b/>
                <w:sz w:val="24"/>
                <w:szCs w:val="24"/>
              </w:rPr>
            </w:pPr>
            <w:r w:rsidRPr="00EA0289">
              <w:rPr>
                <w:rFonts w:ascii="Times New Roman" w:hAnsi="Times New Roman" w:cs="Times New Roman"/>
                <w:b/>
                <w:sz w:val="24"/>
                <w:szCs w:val="24"/>
              </w:rPr>
              <w:t>UKUPNI RASHODI (1+2)</w:t>
            </w:r>
          </w:p>
        </w:tc>
        <w:tc>
          <w:tcPr>
            <w:tcW w:w="1596" w:type="dxa"/>
          </w:tcPr>
          <w:p w:rsidR="008251BE" w:rsidRPr="00EA0289" w:rsidRDefault="00412F29" w:rsidP="00F46DBA">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3.146.327,90</w:t>
            </w:r>
          </w:p>
        </w:tc>
        <w:tc>
          <w:tcPr>
            <w:tcW w:w="1554" w:type="dxa"/>
          </w:tcPr>
          <w:p w:rsidR="008251BE" w:rsidRPr="00EA0289" w:rsidRDefault="00ED0DAB" w:rsidP="00F46DBA">
            <w:pPr>
              <w:spacing w:line="276" w:lineRule="auto"/>
              <w:jc w:val="right"/>
              <w:rPr>
                <w:rFonts w:ascii="Times New Roman" w:hAnsi="Times New Roman" w:cs="Times New Roman"/>
                <w:b/>
                <w:sz w:val="24"/>
                <w:szCs w:val="24"/>
              </w:rPr>
            </w:pPr>
            <w:r w:rsidRPr="00EA0289">
              <w:rPr>
                <w:rFonts w:ascii="Times New Roman" w:hAnsi="Times New Roman" w:cs="Times New Roman"/>
                <w:b/>
                <w:sz w:val="24"/>
                <w:szCs w:val="24"/>
              </w:rPr>
              <w:t>100%</w:t>
            </w:r>
          </w:p>
        </w:tc>
      </w:tr>
      <w:tr w:rsidR="004676A3" w:rsidRPr="00EA0289" w:rsidTr="00F46DBA">
        <w:tc>
          <w:tcPr>
            <w:tcW w:w="6200" w:type="dxa"/>
          </w:tcPr>
          <w:p w:rsidR="008251BE" w:rsidRPr="00EA0289" w:rsidRDefault="008251BE" w:rsidP="00F46DBA">
            <w:pPr>
              <w:spacing w:line="276" w:lineRule="auto"/>
              <w:jc w:val="both"/>
              <w:rPr>
                <w:rFonts w:ascii="Times New Roman" w:hAnsi="Times New Roman" w:cs="Times New Roman"/>
                <w:b/>
                <w:sz w:val="24"/>
                <w:szCs w:val="24"/>
              </w:rPr>
            </w:pPr>
            <w:r w:rsidRPr="00EA0289">
              <w:rPr>
                <w:rFonts w:ascii="Times New Roman" w:hAnsi="Times New Roman" w:cs="Times New Roman"/>
                <w:b/>
                <w:sz w:val="24"/>
                <w:szCs w:val="24"/>
              </w:rPr>
              <w:t>1.RASHODI POSLOVANJA</w:t>
            </w:r>
          </w:p>
        </w:tc>
        <w:tc>
          <w:tcPr>
            <w:tcW w:w="1596" w:type="dxa"/>
          </w:tcPr>
          <w:p w:rsidR="008251BE" w:rsidRPr="00EA0289" w:rsidRDefault="00412F29" w:rsidP="00972A46">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3.122.188,51</w:t>
            </w:r>
          </w:p>
        </w:tc>
        <w:tc>
          <w:tcPr>
            <w:tcW w:w="1554" w:type="dxa"/>
          </w:tcPr>
          <w:p w:rsidR="008251BE" w:rsidRPr="00EA0289" w:rsidRDefault="00412F29" w:rsidP="00F46DBA">
            <w:pPr>
              <w:spacing w:line="276" w:lineRule="auto"/>
              <w:jc w:val="right"/>
              <w:rPr>
                <w:rFonts w:ascii="Times New Roman" w:hAnsi="Times New Roman" w:cs="Times New Roman"/>
                <w:b/>
                <w:sz w:val="24"/>
                <w:szCs w:val="24"/>
              </w:rPr>
            </w:pPr>
            <w:r>
              <w:rPr>
                <w:rFonts w:ascii="Times New Roman" w:hAnsi="Times New Roman" w:cs="Times New Roman"/>
                <w:b/>
                <w:sz w:val="24"/>
                <w:szCs w:val="24"/>
              </w:rPr>
              <w:t>99,23</w:t>
            </w:r>
            <w:r w:rsidR="002D2601" w:rsidRPr="00EA0289">
              <w:rPr>
                <w:rFonts w:ascii="Times New Roman" w:hAnsi="Times New Roman" w:cs="Times New Roman"/>
                <w:b/>
                <w:sz w:val="24"/>
                <w:szCs w:val="24"/>
              </w:rPr>
              <w:t>%</w:t>
            </w:r>
          </w:p>
        </w:tc>
      </w:tr>
      <w:tr w:rsidR="008251BE" w:rsidRPr="00EA0289" w:rsidTr="00F46DBA">
        <w:tc>
          <w:tcPr>
            <w:tcW w:w="6200" w:type="dxa"/>
          </w:tcPr>
          <w:p w:rsidR="008251BE" w:rsidRPr="00EA0289" w:rsidRDefault="008251BE"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a) rashodi za zaposlene</w:t>
            </w:r>
          </w:p>
        </w:tc>
        <w:tc>
          <w:tcPr>
            <w:tcW w:w="1596" w:type="dxa"/>
          </w:tcPr>
          <w:p w:rsidR="008251BE" w:rsidRPr="00EA0289" w:rsidRDefault="00412F29" w:rsidP="00BB3219">
            <w:pPr>
              <w:spacing w:line="276" w:lineRule="auto"/>
              <w:jc w:val="right"/>
              <w:rPr>
                <w:rFonts w:ascii="Times New Roman" w:hAnsi="Times New Roman" w:cs="Times New Roman"/>
                <w:bCs/>
                <w:color w:val="000000" w:themeColor="text1"/>
                <w:sz w:val="24"/>
                <w:szCs w:val="24"/>
                <w:lang w:val="hr-HR"/>
              </w:rPr>
            </w:pPr>
            <w:r>
              <w:rPr>
                <w:rFonts w:ascii="Times New Roman" w:hAnsi="Times New Roman" w:cs="Times New Roman"/>
                <w:bCs/>
                <w:color w:val="000000" w:themeColor="text1"/>
                <w:sz w:val="24"/>
                <w:szCs w:val="24"/>
                <w:lang w:val="hr-HR"/>
              </w:rPr>
              <w:t>2.925.730,90</w:t>
            </w:r>
          </w:p>
        </w:tc>
        <w:tc>
          <w:tcPr>
            <w:tcW w:w="1554" w:type="dxa"/>
          </w:tcPr>
          <w:p w:rsidR="008251BE" w:rsidRPr="00EA0289" w:rsidRDefault="00E04CB7" w:rsidP="00F46DBA">
            <w:pPr>
              <w:spacing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93,70</w:t>
            </w:r>
            <w:r w:rsidR="00ED0DAB" w:rsidRPr="00EA0289">
              <w:rPr>
                <w:rFonts w:ascii="Times New Roman" w:hAnsi="Times New Roman" w:cs="Times New Roman"/>
                <w:color w:val="000000" w:themeColor="text1"/>
                <w:sz w:val="24"/>
                <w:szCs w:val="24"/>
              </w:rPr>
              <w:t>%</w:t>
            </w:r>
          </w:p>
        </w:tc>
      </w:tr>
      <w:tr w:rsidR="008251BE" w:rsidRPr="00EA0289" w:rsidTr="00F46DBA">
        <w:tc>
          <w:tcPr>
            <w:tcW w:w="6200" w:type="dxa"/>
          </w:tcPr>
          <w:p w:rsidR="008251BE" w:rsidRPr="00EA0289" w:rsidRDefault="008251BE"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B) materijalni rashodi </w:t>
            </w:r>
          </w:p>
        </w:tc>
        <w:tc>
          <w:tcPr>
            <w:tcW w:w="1596" w:type="dxa"/>
          </w:tcPr>
          <w:p w:rsidR="008251BE" w:rsidRPr="00EA0289" w:rsidRDefault="00412F29" w:rsidP="00BB3219">
            <w:pPr>
              <w:spacing w:line="276" w:lineRule="auto"/>
              <w:jc w:val="right"/>
              <w:rPr>
                <w:rFonts w:ascii="Times New Roman" w:hAnsi="Times New Roman" w:cs="Times New Roman"/>
                <w:bCs/>
                <w:color w:val="000000" w:themeColor="text1"/>
                <w:sz w:val="24"/>
                <w:szCs w:val="24"/>
                <w:lang w:val="hr-HR"/>
              </w:rPr>
            </w:pPr>
            <w:r>
              <w:rPr>
                <w:rFonts w:ascii="Times New Roman" w:hAnsi="Times New Roman" w:cs="Times New Roman"/>
                <w:bCs/>
                <w:color w:val="000000" w:themeColor="text1"/>
                <w:sz w:val="24"/>
                <w:szCs w:val="24"/>
                <w:lang w:val="hr-HR"/>
              </w:rPr>
              <w:t>194.711,62</w:t>
            </w:r>
          </w:p>
        </w:tc>
        <w:tc>
          <w:tcPr>
            <w:tcW w:w="1554" w:type="dxa"/>
          </w:tcPr>
          <w:p w:rsidR="008251BE" w:rsidRPr="00EA0289" w:rsidRDefault="00412F29" w:rsidP="00F46DBA">
            <w:pPr>
              <w:spacing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6,24</w:t>
            </w:r>
            <w:r w:rsidR="00ED0DAB" w:rsidRPr="00EA0289">
              <w:rPr>
                <w:rFonts w:ascii="Times New Roman" w:hAnsi="Times New Roman" w:cs="Times New Roman"/>
                <w:color w:val="000000" w:themeColor="text1"/>
                <w:sz w:val="24"/>
                <w:szCs w:val="24"/>
              </w:rPr>
              <w:t>%</w:t>
            </w:r>
          </w:p>
        </w:tc>
      </w:tr>
      <w:tr w:rsidR="008251BE" w:rsidRPr="00EA0289" w:rsidTr="00F46DBA">
        <w:tc>
          <w:tcPr>
            <w:tcW w:w="6200" w:type="dxa"/>
          </w:tcPr>
          <w:p w:rsidR="008251BE" w:rsidRPr="00EA0289" w:rsidRDefault="008251BE" w:rsidP="00F46DBA">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c) financijski rashodi</w:t>
            </w:r>
          </w:p>
        </w:tc>
        <w:tc>
          <w:tcPr>
            <w:tcW w:w="1596" w:type="dxa"/>
          </w:tcPr>
          <w:p w:rsidR="008251BE" w:rsidRPr="00EA0289" w:rsidRDefault="00412F29" w:rsidP="00BB3219">
            <w:pPr>
              <w:spacing w:line="276" w:lineRule="auto"/>
              <w:jc w:val="right"/>
              <w:rPr>
                <w:rFonts w:ascii="Times New Roman" w:hAnsi="Times New Roman" w:cs="Times New Roman"/>
                <w:bCs/>
                <w:color w:val="000000" w:themeColor="text1"/>
                <w:sz w:val="24"/>
                <w:szCs w:val="24"/>
                <w:lang w:val="hr-HR"/>
              </w:rPr>
            </w:pPr>
            <w:r>
              <w:rPr>
                <w:rFonts w:ascii="Times New Roman" w:hAnsi="Times New Roman" w:cs="Times New Roman"/>
                <w:bCs/>
                <w:color w:val="000000" w:themeColor="text1"/>
                <w:sz w:val="24"/>
                <w:szCs w:val="24"/>
                <w:lang w:val="hr-HR"/>
              </w:rPr>
              <w:t>145,99</w:t>
            </w:r>
          </w:p>
        </w:tc>
        <w:tc>
          <w:tcPr>
            <w:tcW w:w="1554" w:type="dxa"/>
          </w:tcPr>
          <w:p w:rsidR="008251BE" w:rsidRPr="00EA0289" w:rsidRDefault="003C0292" w:rsidP="00F46DBA">
            <w:pPr>
              <w:spacing w:line="276" w:lineRule="auto"/>
              <w:jc w:val="right"/>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0,01</w:t>
            </w:r>
            <w:r w:rsidR="00ED0DAB" w:rsidRPr="00EA0289">
              <w:rPr>
                <w:rFonts w:ascii="Times New Roman" w:hAnsi="Times New Roman" w:cs="Times New Roman"/>
                <w:color w:val="000000" w:themeColor="text1"/>
                <w:sz w:val="24"/>
                <w:szCs w:val="24"/>
              </w:rPr>
              <w:t>%</w:t>
            </w:r>
          </w:p>
        </w:tc>
      </w:tr>
      <w:tr w:rsidR="00412F29" w:rsidRPr="00EA0289" w:rsidTr="00F46DBA">
        <w:tc>
          <w:tcPr>
            <w:tcW w:w="6200" w:type="dxa"/>
          </w:tcPr>
          <w:p w:rsidR="00412F29" w:rsidRPr="00412F29" w:rsidRDefault="00412F29" w:rsidP="00F46DBA">
            <w:pPr>
              <w:spacing w:line="276" w:lineRule="auto"/>
              <w:jc w:val="both"/>
              <w:rPr>
                <w:rFonts w:ascii="Times New Roman" w:hAnsi="Times New Roman" w:cs="Times New Roman"/>
                <w:color w:val="000000" w:themeColor="text1"/>
                <w:sz w:val="24"/>
                <w:szCs w:val="24"/>
                <w:lang w:val="sv-SE"/>
              </w:rPr>
            </w:pPr>
            <w:r w:rsidRPr="00412F29">
              <w:rPr>
                <w:rFonts w:ascii="Times New Roman" w:hAnsi="Times New Roman" w:cs="Times New Roman"/>
                <w:color w:val="000000" w:themeColor="text1"/>
                <w:sz w:val="24"/>
                <w:szCs w:val="24"/>
                <w:lang w:val="sv-SE"/>
              </w:rPr>
              <w:t>d) ostali rashodi za zaposlene</w:t>
            </w:r>
          </w:p>
        </w:tc>
        <w:tc>
          <w:tcPr>
            <w:tcW w:w="1596" w:type="dxa"/>
          </w:tcPr>
          <w:p w:rsidR="00412F29" w:rsidRPr="00412F29" w:rsidRDefault="00412F29" w:rsidP="00BB3219">
            <w:pPr>
              <w:spacing w:line="276" w:lineRule="auto"/>
              <w:jc w:val="right"/>
              <w:rPr>
                <w:rFonts w:ascii="Times New Roman" w:hAnsi="Times New Roman" w:cs="Times New Roman"/>
                <w:bCs/>
                <w:color w:val="000000" w:themeColor="text1"/>
                <w:sz w:val="24"/>
                <w:szCs w:val="24"/>
                <w:lang w:val="sv-SE"/>
              </w:rPr>
            </w:pPr>
            <w:r>
              <w:rPr>
                <w:rFonts w:ascii="Times New Roman" w:hAnsi="Times New Roman" w:cs="Times New Roman"/>
                <w:bCs/>
                <w:color w:val="000000" w:themeColor="text1"/>
                <w:sz w:val="24"/>
                <w:szCs w:val="24"/>
                <w:lang w:val="sv-SE"/>
              </w:rPr>
              <w:t>1.600,00</w:t>
            </w:r>
          </w:p>
        </w:tc>
        <w:tc>
          <w:tcPr>
            <w:tcW w:w="1554" w:type="dxa"/>
          </w:tcPr>
          <w:p w:rsidR="00412F29" w:rsidRPr="00412F29" w:rsidRDefault="00412F29" w:rsidP="00F46DBA">
            <w:pPr>
              <w:spacing w:line="276" w:lineRule="auto"/>
              <w:jc w:val="right"/>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0,05%</w:t>
            </w:r>
          </w:p>
        </w:tc>
      </w:tr>
      <w:tr w:rsidR="008251BE" w:rsidRPr="00EA0289" w:rsidTr="00F46DBA">
        <w:tc>
          <w:tcPr>
            <w:tcW w:w="6200" w:type="dxa"/>
          </w:tcPr>
          <w:p w:rsidR="008251BE" w:rsidRPr="00EA0289" w:rsidRDefault="008251BE" w:rsidP="00F46DBA">
            <w:pPr>
              <w:spacing w:line="276" w:lineRule="auto"/>
              <w:rPr>
                <w:rFonts w:ascii="Times New Roman" w:hAnsi="Times New Roman" w:cs="Times New Roman"/>
                <w:b/>
                <w:bCs/>
                <w:color w:val="000000" w:themeColor="text1"/>
                <w:sz w:val="24"/>
                <w:szCs w:val="24"/>
              </w:rPr>
            </w:pPr>
            <w:r w:rsidRPr="00EA0289">
              <w:rPr>
                <w:rFonts w:ascii="Times New Roman" w:hAnsi="Times New Roman" w:cs="Times New Roman"/>
                <w:b/>
                <w:bCs/>
                <w:color w:val="000000" w:themeColor="text1"/>
                <w:sz w:val="24"/>
                <w:szCs w:val="24"/>
              </w:rPr>
              <w:t>2.RASHODI ZA NABAVU NEFINANCIJSKE IMOVINE</w:t>
            </w:r>
          </w:p>
        </w:tc>
        <w:tc>
          <w:tcPr>
            <w:tcW w:w="1596" w:type="dxa"/>
          </w:tcPr>
          <w:p w:rsidR="008251BE" w:rsidRPr="00EA0289" w:rsidRDefault="00412F29" w:rsidP="00F46DBA">
            <w:pPr>
              <w:spacing w:line="276"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24.139,39</w:t>
            </w:r>
          </w:p>
        </w:tc>
        <w:tc>
          <w:tcPr>
            <w:tcW w:w="1554" w:type="dxa"/>
          </w:tcPr>
          <w:p w:rsidR="008251BE" w:rsidRPr="00EA0289" w:rsidRDefault="00E04CB7" w:rsidP="00F46DBA">
            <w:pPr>
              <w:spacing w:line="276"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0,77</w:t>
            </w:r>
            <w:r w:rsidR="00ED0DAB" w:rsidRPr="00EA0289">
              <w:rPr>
                <w:rFonts w:ascii="Times New Roman" w:hAnsi="Times New Roman" w:cs="Times New Roman"/>
                <w:b/>
                <w:color w:val="000000" w:themeColor="text1"/>
                <w:sz w:val="24"/>
                <w:szCs w:val="24"/>
              </w:rPr>
              <w:t>%</w:t>
            </w:r>
          </w:p>
        </w:tc>
      </w:tr>
      <w:tr w:rsidR="008251BE" w:rsidRPr="00EA0289" w:rsidTr="00F46DBA">
        <w:tc>
          <w:tcPr>
            <w:tcW w:w="6200" w:type="dxa"/>
          </w:tcPr>
          <w:p w:rsidR="008251BE" w:rsidRPr="00EA0289" w:rsidRDefault="008251BE" w:rsidP="00F46DBA">
            <w:pPr>
              <w:spacing w:line="276" w:lineRule="auto"/>
              <w:rPr>
                <w:rFonts w:ascii="Times New Roman" w:hAnsi="Times New Roman" w:cs="Times New Roman"/>
                <w:b/>
                <w:bCs/>
                <w:color w:val="000000" w:themeColor="text1"/>
                <w:sz w:val="24"/>
                <w:szCs w:val="24"/>
              </w:rPr>
            </w:pPr>
            <w:r w:rsidRPr="00EA0289">
              <w:rPr>
                <w:rFonts w:ascii="Times New Roman" w:hAnsi="Times New Roman" w:cs="Times New Roman"/>
                <w:color w:val="000000" w:themeColor="text1"/>
                <w:sz w:val="24"/>
                <w:szCs w:val="24"/>
              </w:rPr>
              <w:t>a) Rashodi za nabavu proizvedene dugotrajne imovine</w:t>
            </w:r>
          </w:p>
        </w:tc>
        <w:tc>
          <w:tcPr>
            <w:tcW w:w="1596" w:type="dxa"/>
          </w:tcPr>
          <w:p w:rsidR="008251BE" w:rsidRPr="00EA0289" w:rsidRDefault="00412F29" w:rsidP="002D2601">
            <w:pPr>
              <w:spacing w:line="276"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24.139,39</w:t>
            </w:r>
          </w:p>
        </w:tc>
        <w:tc>
          <w:tcPr>
            <w:tcW w:w="1554" w:type="dxa"/>
          </w:tcPr>
          <w:p w:rsidR="008251BE" w:rsidRPr="00EA0289" w:rsidRDefault="00E04CB7" w:rsidP="00F46DBA">
            <w:pPr>
              <w:spacing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0,77</w:t>
            </w:r>
            <w:r w:rsidR="00ED0DAB" w:rsidRPr="00EA0289">
              <w:rPr>
                <w:rFonts w:ascii="Times New Roman" w:hAnsi="Times New Roman" w:cs="Times New Roman"/>
                <w:color w:val="000000" w:themeColor="text1"/>
                <w:sz w:val="24"/>
                <w:szCs w:val="24"/>
              </w:rPr>
              <w:t>%</w:t>
            </w:r>
          </w:p>
        </w:tc>
      </w:tr>
      <w:tr w:rsidR="008251BE" w:rsidRPr="00EA0289" w:rsidTr="00F46DBA">
        <w:tc>
          <w:tcPr>
            <w:tcW w:w="6200" w:type="dxa"/>
          </w:tcPr>
          <w:p w:rsidR="008251BE" w:rsidRPr="00AE7F44" w:rsidRDefault="008251BE" w:rsidP="00F46DBA">
            <w:pPr>
              <w:spacing w:line="276" w:lineRule="auto"/>
              <w:rPr>
                <w:rFonts w:ascii="Times New Roman" w:hAnsi="Times New Roman" w:cs="Times New Roman"/>
                <w:iCs/>
                <w:color w:val="000000" w:themeColor="text1"/>
                <w:sz w:val="24"/>
                <w:szCs w:val="24"/>
                <w:lang w:val="hr-HR"/>
              </w:rPr>
            </w:pPr>
            <w:r w:rsidRPr="00AE7F44">
              <w:rPr>
                <w:rFonts w:ascii="Times New Roman" w:hAnsi="Times New Roman" w:cs="Times New Roman"/>
                <w:iCs/>
                <w:color w:val="000000" w:themeColor="text1"/>
                <w:sz w:val="24"/>
                <w:szCs w:val="24"/>
                <w:lang w:val="hr-HR"/>
              </w:rPr>
              <w:t>b)</w:t>
            </w:r>
            <w:r w:rsidRPr="00AE7F44">
              <w:rPr>
                <w:rFonts w:ascii="Times New Roman" w:hAnsi="Times New Roman" w:cs="Times New Roman"/>
                <w:lang w:val="hr-HR"/>
              </w:rPr>
              <w:t xml:space="preserve"> </w:t>
            </w:r>
            <w:r w:rsidRPr="00AE7F44">
              <w:rPr>
                <w:rFonts w:ascii="Times New Roman" w:hAnsi="Times New Roman" w:cs="Times New Roman"/>
                <w:iCs/>
                <w:color w:val="000000" w:themeColor="text1"/>
                <w:sz w:val="24"/>
                <w:szCs w:val="24"/>
                <w:lang w:val="hr-HR"/>
              </w:rPr>
              <w:t xml:space="preserve">Rashodi za dodatna ulaganja na nefinancijskoj imovini </w:t>
            </w:r>
          </w:p>
        </w:tc>
        <w:tc>
          <w:tcPr>
            <w:tcW w:w="1596" w:type="dxa"/>
          </w:tcPr>
          <w:p w:rsidR="008251BE" w:rsidRPr="00EA0289" w:rsidRDefault="002D2601" w:rsidP="00F46DBA">
            <w:pPr>
              <w:spacing w:line="276" w:lineRule="auto"/>
              <w:jc w:val="right"/>
              <w:rPr>
                <w:rFonts w:ascii="Times New Roman" w:hAnsi="Times New Roman" w:cs="Times New Roman"/>
                <w:iCs/>
                <w:color w:val="000000" w:themeColor="text1"/>
                <w:sz w:val="24"/>
                <w:szCs w:val="24"/>
              </w:rPr>
            </w:pPr>
            <w:r w:rsidRPr="00EA0289">
              <w:rPr>
                <w:rFonts w:ascii="Times New Roman" w:hAnsi="Times New Roman" w:cs="Times New Roman"/>
                <w:iCs/>
                <w:color w:val="000000" w:themeColor="text1"/>
                <w:sz w:val="24"/>
                <w:szCs w:val="24"/>
              </w:rPr>
              <w:t>0,00</w:t>
            </w:r>
          </w:p>
        </w:tc>
        <w:tc>
          <w:tcPr>
            <w:tcW w:w="1554" w:type="dxa"/>
          </w:tcPr>
          <w:p w:rsidR="008251BE" w:rsidRPr="00EA0289" w:rsidRDefault="002D2601" w:rsidP="00F46DBA">
            <w:pPr>
              <w:spacing w:line="276" w:lineRule="auto"/>
              <w:jc w:val="right"/>
              <w:rPr>
                <w:rFonts w:ascii="Times New Roman" w:hAnsi="Times New Roman" w:cs="Times New Roman"/>
                <w:iCs/>
                <w:color w:val="000000" w:themeColor="text1"/>
                <w:sz w:val="24"/>
                <w:szCs w:val="24"/>
              </w:rPr>
            </w:pPr>
            <w:r w:rsidRPr="00EA0289">
              <w:rPr>
                <w:rFonts w:ascii="Times New Roman" w:hAnsi="Times New Roman" w:cs="Times New Roman"/>
                <w:iCs/>
                <w:color w:val="000000" w:themeColor="text1"/>
                <w:sz w:val="24"/>
                <w:szCs w:val="24"/>
              </w:rPr>
              <w:t>0</w:t>
            </w:r>
          </w:p>
        </w:tc>
      </w:tr>
    </w:tbl>
    <w:p w:rsidR="008251BE" w:rsidRPr="00EA0289" w:rsidRDefault="008251BE" w:rsidP="008251BE">
      <w:pPr>
        <w:spacing w:line="276" w:lineRule="auto"/>
        <w:jc w:val="both"/>
        <w:rPr>
          <w:rFonts w:ascii="Times New Roman" w:hAnsi="Times New Roman" w:cs="Times New Roman"/>
          <w:color w:val="000000" w:themeColor="text1"/>
          <w:sz w:val="24"/>
          <w:szCs w:val="24"/>
        </w:rPr>
      </w:pPr>
    </w:p>
    <w:p w:rsidR="008251BE" w:rsidRPr="00EA0289" w:rsidRDefault="008251BE" w:rsidP="008251BE">
      <w:pPr>
        <w:spacing w:line="276" w:lineRule="auto"/>
        <w:jc w:val="both"/>
        <w:rPr>
          <w:rFonts w:ascii="Times New Roman" w:hAnsi="Times New Roman" w:cs="Times New Roman"/>
          <w:color w:val="000000" w:themeColor="text1"/>
          <w:sz w:val="24"/>
          <w:szCs w:val="24"/>
        </w:rPr>
      </w:pP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Rashodi za </w:t>
      </w:r>
      <w:r w:rsidR="00F85703">
        <w:rPr>
          <w:rFonts w:ascii="Times New Roman" w:hAnsi="Times New Roman" w:cs="Times New Roman"/>
          <w:color w:val="000000" w:themeColor="text1"/>
          <w:sz w:val="24"/>
          <w:szCs w:val="24"/>
        </w:rPr>
        <w:t>2027</w:t>
      </w:r>
      <w:r w:rsidRPr="00EA0289">
        <w:rPr>
          <w:rFonts w:ascii="Times New Roman" w:hAnsi="Times New Roman" w:cs="Times New Roman"/>
          <w:color w:val="000000" w:themeColor="text1"/>
          <w:sz w:val="24"/>
          <w:szCs w:val="24"/>
        </w:rPr>
        <w:t>. i 202</w:t>
      </w:r>
      <w:r w:rsidR="00F85703">
        <w:rPr>
          <w:rFonts w:ascii="Times New Roman" w:hAnsi="Times New Roman" w:cs="Times New Roman"/>
          <w:color w:val="000000" w:themeColor="text1"/>
          <w:sz w:val="24"/>
          <w:szCs w:val="24"/>
        </w:rPr>
        <w:t>8</w:t>
      </w:r>
      <w:r w:rsidRPr="00EA0289">
        <w:rPr>
          <w:rFonts w:ascii="Times New Roman" w:hAnsi="Times New Roman" w:cs="Times New Roman"/>
          <w:color w:val="000000" w:themeColor="text1"/>
          <w:sz w:val="24"/>
          <w:szCs w:val="24"/>
        </w:rPr>
        <w:t>. godinu planirani su u istom opsegu kao i 20</w:t>
      </w:r>
      <w:r w:rsidR="00F85703">
        <w:rPr>
          <w:rFonts w:ascii="Times New Roman" w:hAnsi="Times New Roman" w:cs="Times New Roman"/>
          <w:color w:val="000000" w:themeColor="text1"/>
          <w:sz w:val="24"/>
          <w:szCs w:val="24"/>
        </w:rPr>
        <w:t>26</w:t>
      </w:r>
      <w:r w:rsidRPr="00EA0289">
        <w:rPr>
          <w:rFonts w:ascii="Times New Roman" w:hAnsi="Times New Roman" w:cs="Times New Roman"/>
          <w:color w:val="000000" w:themeColor="text1"/>
          <w:sz w:val="24"/>
          <w:szCs w:val="24"/>
        </w:rPr>
        <w:t>. godina.</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2.2.1. Rashodi poslovanja</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Rashodi poslovanja za 20</w:t>
      </w:r>
      <w:r w:rsidR="00FE2501">
        <w:rPr>
          <w:rFonts w:ascii="Times New Roman" w:hAnsi="Times New Roman" w:cs="Times New Roman"/>
          <w:color w:val="000000" w:themeColor="text1"/>
          <w:sz w:val="24"/>
          <w:szCs w:val="24"/>
        </w:rPr>
        <w:t>26</w:t>
      </w:r>
      <w:r w:rsidRPr="00EA0289">
        <w:rPr>
          <w:rFonts w:ascii="Times New Roman" w:hAnsi="Times New Roman" w:cs="Times New Roman"/>
          <w:color w:val="000000" w:themeColor="text1"/>
          <w:sz w:val="24"/>
          <w:szCs w:val="24"/>
        </w:rPr>
        <w:t xml:space="preserve">.g. planirani su u iznosu od </w:t>
      </w:r>
      <w:r w:rsidR="00FE2501">
        <w:rPr>
          <w:rFonts w:ascii="Times New Roman" w:hAnsi="Times New Roman" w:cs="Times New Roman"/>
          <w:color w:val="000000" w:themeColor="text1"/>
          <w:sz w:val="24"/>
          <w:szCs w:val="24"/>
        </w:rPr>
        <w:t>3.146.327,90</w:t>
      </w:r>
      <w:r w:rsidR="00592575" w:rsidRPr="00EA0289">
        <w:rPr>
          <w:rFonts w:ascii="Times New Roman" w:hAnsi="Times New Roman" w:cs="Times New Roman"/>
          <w:color w:val="000000" w:themeColor="text1"/>
          <w:sz w:val="24"/>
          <w:szCs w:val="24"/>
        </w:rPr>
        <w:t xml:space="preserve"> EUR</w:t>
      </w:r>
      <w:r w:rsidRPr="00EA0289">
        <w:rPr>
          <w:rFonts w:ascii="Times New Roman" w:hAnsi="Times New Roman" w:cs="Times New Roman"/>
          <w:color w:val="000000" w:themeColor="text1"/>
          <w:sz w:val="24"/>
          <w:szCs w:val="24"/>
        </w:rPr>
        <w:t>.</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color w:val="000000" w:themeColor="text1"/>
          <w:sz w:val="24"/>
          <w:szCs w:val="24"/>
        </w:rPr>
        <w:t>Rashodi za zaposlene</w:t>
      </w:r>
      <w:r w:rsidRPr="00EA0289">
        <w:rPr>
          <w:rFonts w:ascii="Times New Roman" w:hAnsi="Times New Roman" w:cs="Times New Roman"/>
          <w:color w:val="000000" w:themeColor="text1"/>
          <w:sz w:val="24"/>
          <w:szCs w:val="24"/>
        </w:rPr>
        <w:t xml:space="preserve"> planirani su u ukupnom iznosu od </w:t>
      </w:r>
      <w:r w:rsidR="003C0292" w:rsidRPr="00EA0289">
        <w:rPr>
          <w:rFonts w:ascii="Times New Roman" w:hAnsi="Times New Roman" w:cs="Times New Roman"/>
          <w:color w:val="000000" w:themeColor="text1"/>
          <w:sz w:val="24"/>
          <w:szCs w:val="24"/>
        </w:rPr>
        <w:t>1</w:t>
      </w:r>
      <w:r w:rsidR="00FE2501">
        <w:rPr>
          <w:rFonts w:ascii="Times New Roman" w:hAnsi="Times New Roman" w:cs="Times New Roman"/>
          <w:color w:val="000000" w:themeColor="text1"/>
          <w:sz w:val="24"/>
          <w:szCs w:val="24"/>
        </w:rPr>
        <w:t>2.925.730,90</w:t>
      </w:r>
      <w:r w:rsidR="00592575" w:rsidRPr="00EA0289">
        <w:rPr>
          <w:rFonts w:ascii="Times New Roman" w:hAnsi="Times New Roman" w:cs="Times New Roman"/>
          <w:color w:val="000000" w:themeColor="text1"/>
          <w:sz w:val="24"/>
          <w:szCs w:val="24"/>
        </w:rPr>
        <w:t xml:space="preserve"> EUR</w:t>
      </w:r>
      <w:r w:rsidRPr="00EA0289">
        <w:rPr>
          <w:rFonts w:ascii="Times New Roman" w:hAnsi="Times New Roman" w:cs="Times New Roman"/>
          <w:color w:val="000000" w:themeColor="text1"/>
          <w:sz w:val="24"/>
          <w:szCs w:val="24"/>
        </w:rPr>
        <w:t xml:space="preserve"> i u strukturi ukupnih rashoda čine najznačajniji udio od čak </w:t>
      </w:r>
      <w:r w:rsidR="00FE2501">
        <w:rPr>
          <w:rFonts w:ascii="Times New Roman" w:hAnsi="Times New Roman" w:cs="Times New Roman"/>
          <w:color w:val="000000" w:themeColor="text1"/>
          <w:sz w:val="24"/>
          <w:szCs w:val="24"/>
        </w:rPr>
        <w:t>93,70</w:t>
      </w:r>
      <w:r w:rsidRPr="00EA0289">
        <w:rPr>
          <w:rFonts w:ascii="Times New Roman" w:hAnsi="Times New Roman" w:cs="Times New Roman"/>
          <w:color w:val="000000" w:themeColor="text1"/>
          <w:sz w:val="24"/>
          <w:szCs w:val="24"/>
        </w:rPr>
        <w:t xml:space="preserve">%. U ovoj skupini rashoda planirane su bruto plaće zaposlenika, ostali rashodi </w:t>
      </w:r>
      <w:r w:rsidR="00C564AF" w:rsidRPr="00EA0289">
        <w:rPr>
          <w:rFonts w:ascii="Times New Roman" w:hAnsi="Times New Roman" w:cs="Times New Roman"/>
          <w:color w:val="000000" w:themeColor="text1"/>
          <w:sz w:val="24"/>
          <w:szCs w:val="24"/>
        </w:rPr>
        <w:t xml:space="preserve">za zaposlene </w:t>
      </w:r>
      <w:r w:rsidRPr="00EA0289">
        <w:rPr>
          <w:rFonts w:ascii="Times New Roman" w:hAnsi="Times New Roman" w:cs="Times New Roman"/>
          <w:color w:val="000000" w:themeColor="text1"/>
          <w:sz w:val="24"/>
          <w:szCs w:val="24"/>
        </w:rPr>
        <w:t>te doprinosi na plaću. Promatrajući navedene rashode po izvorima financiranja</w:t>
      </w:r>
      <w:r w:rsidR="00592575" w:rsidRPr="00EA0289">
        <w:rPr>
          <w:rFonts w:ascii="Times New Roman" w:hAnsi="Times New Roman" w:cs="Times New Roman"/>
          <w:color w:val="000000" w:themeColor="text1"/>
          <w:sz w:val="24"/>
          <w:szCs w:val="24"/>
        </w:rPr>
        <w:t xml:space="preserve">, </w:t>
      </w:r>
      <w:r w:rsidR="003C0292" w:rsidRPr="00EA0289">
        <w:rPr>
          <w:rFonts w:ascii="Times New Roman" w:hAnsi="Times New Roman" w:cs="Times New Roman"/>
          <w:color w:val="000000" w:themeColor="text1"/>
          <w:sz w:val="24"/>
          <w:szCs w:val="24"/>
        </w:rPr>
        <w:t>većinom se rashodi</w:t>
      </w:r>
      <w:r w:rsidRPr="00EA0289">
        <w:rPr>
          <w:rFonts w:ascii="Times New Roman" w:hAnsi="Times New Roman" w:cs="Times New Roman"/>
          <w:color w:val="000000" w:themeColor="text1"/>
          <w:sz w:val="24"/>
          <w:szCs w:val="24"/>
        </w:rPr>
        <w:t xml:space="preserve"> financira</w:t>
      </w:r>
      <w:r w:rsidR="003C0292" w:rsidRPr="00EA0289">
        <w:rPr>
          <w:rFonts w:ascii="Times New Roman" w:hAnsi="Times New Roman" w:cs="Times New Roman"/>
          <w:color w:val="000000" w:themeColor="text1"/>
          <w:sz w:val="24"/>
          <w:szCs w:val="24"/>
        </w:rPr>
        <w:t>ju</w:t>
      </w:r>
      <w:r w:rsidRPr="00EA0289">
        <w:rPr>
          <w:rFonts w:ascii="Times New Roman" w:hAnsi="Times New Roman" w:cs="Times New Roman"/>
          <w:color w:val="000000" w:themeColor="text1"/>
          <w:sz w:val="24"/>
          <w:szCs w:val="24"/>
        </w:rPr>
        <w:t xml:space="preserve"> se iz državnog proračuna, </w:t>
      </w:r>
      <w:r w:rsidR="003C0292" w:rsidRPr="00EA0289">
        <w:rPr>
          <w:rFonts w:ascii="Times New Roman" w:hAnsi="Times New Roman" w:cs="Times New Roman"/>
          <w:color w:val="000000" w:themeColor="text1"/>
          <w:sz w:val="24"/>
          <w:szCs w:val="24"/>
        </w:rPr>
        <w:t xml:space="preserve">a mali dio rashoda za zaposlene financira se iz općih prihoda i primitaka u 530,90 eura- Naknada za e-tehničara. </w:t>
      </w:r>
      <w:r w:rsidRPr="00EA0289">
        <w:rPr>
          <w:rFonts w:ascii="Times New Roman" w:hAnsi="Times New Roman" w:cs="Times New Roman"/>
          <w:color w:val="000000" w:themeColor="text1"/>
          <w:sz w:val="24"/>
          <w:szCs w:val="24"/>
        </w:rPr>
        <w:t xml:space="preserve"> </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color w:val="000000" w:themeColor="text1"/>
          <w:sz w:val="24"/>
          <w:szCs w:val="24"/>
        </w:rPr>
        <w:t>Materijalni rashodi</w:t>
      </w:r>
      <w:r w:rsidRPr="00EA0289">
        <w:rPr>
          <w:rFonts w:ascii="Times New Roman" w:hAnsi="Times New Roman" w:cs="Times New Roman"/>
          <w:color w:val="000000" w:themeColor="text1"/>
          <w:sz w:val="24"/>
          <w:szCs w:val="24"/>
        </w:rPr>
        <w:t xml:space="preserve"> planirani su u ukupnom od iznosu od </w:t>
      </w:r>
      <w:r w:rsidR="00086ABE">
        <w:rPr>
          <w:rFonts w:ascii="Times New Roman" w:hAnsi="Times New Roman" w:cs="Times New Roman"/>
          <w:color w:val="000000" w:themeColor="text1"/>
          <w:sz w:val="24"/>
          <w:szCs w:val="24"/>
        </w:rPr>
        <w:t>194.711,62</w:t>
      </w:r>
      <w:r w:rsidR="00086ABE" w:rsidRPr="00086ABE">
        <w:rPr>
          <w:rFonts w:ascii="Times New Roman" w:hAnsi="Times New Roman" w:cs="Times New Roman"/>
          <w:color w:val="000000" w:themeColor="text1"/>
          <w:sz w:val="24"/>
          <w:szCs w:val="24"/>
        </w:rPr>
        <w:t xml:space="preserve"> </w:t>
      </w:r>
      <w:r w:rsidR="00086ABE" w:rsidRPr="00EA0289">
        <w:rPr>
          <w:rFonts w:ascii="Times New Roman" w:hAnsi="Times New Roman" w:cs="Times New Roman"/>
          <w:color w:val="000000" w:themeColor="text1"/>
          <w:sz w:val="24"/>
          <w:szCs w:val="24"/>
        </w:rPr>
        <w:t>EUR</w:t>
      </w:r>
      <w:r w:rsidRPr="00EA0289">
        <w:rPr>
          <w:rFonts w:ascii="Times New Roman" w:hAnsi="Times New Roman" w:cs="Times New Roman"/>
          <w:color w:val="000000" w:themeColor="text1"/>
          <w:sz w:val="24"/>
          <w:szCs w:val="24"/>
        </w:rPr>
        <w:t xml:space="preserve"> i u strukturi ukupnih rashoda čine </w:t>
      </w:r>
      <w:r w:rsidR="00086ABE">
        <w:rPr>
          <w:rFonts w:ascii="Times New Roman" w:hAnsi="Times New Roman" w:cs="Times New Roman"/>
          <w:color w:val="000000" w:themeColor="text1"/>
          <w:sz w:val="24"/>
          <w:szCs w:val="24"/>
        </w:rPr>
        <w:t>6,24</w:t>
      </w:r>
      <w:r w:rsidRPr="00EA0289">
        <w:rPr>
          <w:rFonts w:ascii="Times New Roman" w:hAnsi="Times New Roman" w:cs="Times New Roman"/>
          <w:color w:val="000000" w:themeColor="text1"/>
          <w:sz w:val="24"/>
          <w:szCs w:val="24"/>
        </w:rPr>
        <w:t>%, a obuhvaćaju rashode za potrebe redovnog poslovanja koji se najvećim dijelom financiraju iz županijskog proračuna. Navedena skupina rashoda obuhvaća rashode za nabavu uredskog materijala, naknade za prijevoz zaposlenih, stručno usavršavanje zaposlenih, službena putovanja zaposlenih, energiju, materijal i sirovine, tekuće i investicijsko održavanje, sitni inventar, rashode za usluge telefona, pošte i prijevoza, promidžbe i informiranja, zdravstvene, računalne i ostale usluge, intelektualne usluge, premije osiguranja, reprezentaciju i članarine.</w:t>
      </w:r>
    </w:p>
    <w:p w:rsidR="008251BE"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color w:val="000000" w:themeColor="text1"/>
          <w:sz w:val="24"/>
          <w:szCs w:val="24"/>
        </w:rPr>
        <w:lastRenderedPageBreak/>
        <w:t>Financijski rashodi</w:t>
      </w:r>
      <w:r w:rsidR="004676A3" w:rsidRPr="00EA0289">
        <w:rPr>
          <w:rFonts w:ascii="Times New Roman" w:hAnsi="Times New Roman" w:cs="Times New Roman"/>
          <w:color w:val="000000" w:themeColor="text1"/>
          <w:sz w:val="24"/>
          <w:szCs w:val="24"/>
        </w:rPr>
        <w:t xml:space="preserve"> planirani su u iznosu </w:t>
      </w:r>
      <w:r w:rsidR="00C564AF" w:rsidRPr="00EA0289">
        <w:rPr>
          <w:rFonts w:ascii="Times New Roman" w:hAnsi="Times New Roman" w:cs="Times New Roman"/>
          <w:color w:val="000000" w:themeColor="text1"/>
          <w:sz w:val="24"/>
          <w:szCs w:val="24"/>
        </w:rPr>
        <w:t xml:space="preserve">od </w:t>
      </w:r>
      <w:r w:rsidR="003C0292" w:rsidRPr="00EA0289">
        <w:rPr>
          <w:rFonts w:ascii="Times New Roman" w:hAnsi="Times New Roman" w:cs="Times New Roman"/>
          <w:color w:val="000000" w:themeColor="text1"/>
          <w:sz w:val="24"/>
          <w:szCs w:val="24"/>
        </w:rPr>
        <w:t>145,99</w:t>
      </w:r>
      <w:r w:rsidR="00592575" w:rsidRPr="00EA0289">
        <w:rPr>
          <w:rFonts w:ascii="Times New Roman" w:hAnsi="Times New Roman" w:cs="Times New Roman"/>
          <w:color w:val="000000" w:themeColor="text1"/>
          <w:sz w:val="24"/>
          <w:szCs w:val="24"/>
        </w:rPr>
        <w:t xml:space="preserve"> EUR</w:t>
      </w:r>
      <w:r w:rsidRPr="00EA0289">
        <w:rPr>
          <w:rFonts w:ascii="Times New Roman" w:hAnsi="Times New Roman" w:cs="Times New Roman"/>
          <w:color w:val="000000" w:themeColor="text1"/>
          <w:sz w:val="24"/>
          <w:szCs w:val="24"/>
        </w:rPr>
        <w:t xml:space="preserve"> i u ukupnoj strukturi rashoda čine </w:t>
      </w:r>
      <w:r w:rsidR="003C0292" w:rsidRPr="00EA0289">
        <w:rPr>
          <w:rFonts w:ascii="Times New Roman" w:hAnsi="Times New Roman" w:cs="Times New Roman"/>
          <w:color w:val="000000" w:themeColor="text1"/>
          <w:sz w:val="24"/>
          <w:szCs w:val="24"/>
        </w:rPr>
        <w:t>0,01</w:t>
      </w:r>
      <w:r w:rsidRPr="00EA0289">
        <w:rPr>
          <w:rFonts w:ascii="Times New Roman" w:hAnsi="Times New Roman" w:cs="Times New Roman"/>
          <w:color w:val="000000" w:themeColor="text1"/>
          <w:sz w:val="24"/>
          <w:szCs w:val="24"/>
        </w:rPr>
        <w:t>%. Riječ je zateznim kamata koje nastaju zbog kašnjenja u plaćanju materijalnih obveza</w:t>
      </w:r>
      <w:r w:rsidR="003C0292" w:rsidRPr="00EA0289">
        <w:rPr>
          <w:rFonts w:ascii="Times New Roman" w:hAnsi="Times New Roman" w:cs="Times New Roman"/>
          <w:color w:val="000000" w:themeColor="text1"/>
          <w:sz w:val="24"/>
          <w:szCs w:val="24"/>
        </w:rPr>
        <w:t>.</w:t>
      </w:r>
    </w:p>
    <w:p w:rsidR="001906BB" w:rsidRPr="001906BB" w:rsidRDefault="001906BB" w:rsidP="008251BE">
      <w:pPr>
        <w:spacing w:line="276" w:lineRule="auto"/>
        <w:jc w:val="both"/>
        <w:rPr>
          <w:rFonts w:ascii="Times New Roman" w:hAnsi="Times New Roman" w:cs="Times New Roman"/>
          <w:color w:val="000000" w:themeColor="text1"/>
          <w:sz w:val="24"/>
          <w:szCs w:val="24"/>
        </w:rPr>
      </w:pPr>
      <w:r w:rsidRPr="001906BB">
        <w:rPr>
          <w:rFonts w:ascii="Times New Roman" w:hAnsi="Times New Roman" w:cs="Times New Roman"/>
          <w:i/>
          <w:color w:val="000000" w:themeColor="text1"/>
          <w:sz w:val="24"/>
          <w:szCs w:val="24"/>
        </w:rPr>
        <w:t xml:space="preserve">Ostali rashodi za zaposlene </w:t>
      </w:r>
      <w:r>
        <w:rPr>
          <w:rFonts w:ascii="Times New Roman" w:hAnsi="Times New Roman" w:cs="Times New Roman"/>
          <w:color w:val="000000" w:themeColor="text1"/>
          <w:sz w:val="24"/>
          <w:szCs w:val="24"/>
        </w:rPr>
        <w:t>planirani su u iznosu 1.600,00 EUR i u ukupnoj strukturi rashoda čine 0,05%. Riječ je o nabavi menstrualnih higijenskih potrepština za školu.</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2.2.2. Rashodi za nabavu nefinancijske imovine</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Rashodi za nabavu nefinancijske imovine planirani su u iznosu </w:t>
      </w:r>
      <w:r w:rsidR="00BB6A73">
        <w:rPr>
          <w:rFonts w:ascii="Times New Roman" w:hAnsi="Times New Roman" w:cs="Times New Roman"/>
          <w:color w:val="000000" w:themeColor="text1"/>
          <w:sz w:val="24"/>
          <w:szCs w:val="24"/>
        </w:rPr>
        <w:t xml:space="preserve">24.139,39 </w:t>
      </w:r>
      <w:r w:rsidR="00592575" w:rsidRPr="00EA0289">
        <w:rPr>
          <w:rFonts w:ascii="Times New Roman" w:hAnsi="Times New Roman" w:cs="Times New Roman"/>
          <w:color w:val="000000" w:themeColor="text1"/>
          <w:sz w:val="24"/>
          <w:szCs w:val="24"/>
        </w:rPr>
        <w:t>EUR.</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i/>
          <w:color w:val="000000" w:themeColor="text1"/>
          <w:sz w:val="24"/>
          <w:szCs w:val="24"/>
        </w:rPr>
        <w:t xml:space="preserve">Rashodi za nabavu proizvedene dugotrajne imovine </w:t>
      </w:r>
      <w:r w:rsidRPr="00EA0289">
        <w:rPr>
          <w:rFonts w:ascii="Times New Roman" w:hAnsi="Times New Roman" w:cs="Times New Roman"/>
          <w:color w:val="000000" w:themeColor="text1"/>
          <w:sz w:val="24"/>
          <w:szCs w:val="24"/>
        </w:rPr>
        <w:t xml:space="preserve">planirani su u iznosu od </w:t>
      </w:r>
      <w:r w:rsidR="002104C6">
        <w:rPr>
          <w:rFonts w:ascii="Times New Roman" w:hAnsi="Times New Roman" w:cs="Times New Roman"/>
          <w:color w:val="000000" w:themeColor="text1"/>
          <w:sz w:val="24"/>
          <w:szCs w:val="24"/>
        </w:rPr>
        <w:t>24.139,39</w:t>
      </w:r>
      <w:r w:rsidR="00592575" w:rsidRPr="00EA0289">
        <w:rPr>
          <w:rFonts w:ascii="Times New Roman" w:hAnsi="Times New Roman" w:cs="Times New Roman"/>
          <w:color w:val="000000" w:themeColor="text1"/>
          <w:sz w:val="24"/>
          <w:szCs w:val="24"/>
        </w:rPr>
        <w:t xml:space="preserve"> EUR,</w:t>
      </w:r>
      <w:r w:rsidR="00C564AF" w:rsidRPr="00EA0289">
        <w:rPr>
          <w:rFonts w:ascii="Times New Roman" w:hAnsi="Times New Roman" w:cs="Times New Roman"/>
          <w:color w:val="000000" w:themeColor="text1"/>
          <w:sz w:val="24"/>
          <w:szCs w:val="24"/>
        </w:rPr>
        <w:t xml:space="preserve"> a odnose na opremanje školskog prostora za obavljanje redovne djelatnosti proračunskog korisnika (srednjoškolskog obrazovanja) te za pružanje usluga koje imaju obilježje gospodarske djelatnosti (zakupa). </w:t>
      </w:r>
      <w:r w:rsidRPr="00EA0289">
        <w:rPr>
          <w:rFonts w:ascii="Times New Roman" w:hAnsi="Times New Roman" w:cs="Times New Roman"/>
          <w:color w:val="000000" w:themeColor="text1"/>
          <w:sz w:val="24"/>
          <w:szCs w:val="24"/>
        </w:rPr>
        <w:t xml:space="preserve">Navedeni rashodi planiraju se </w:t>
      </w:r>
      <w:r w:rsidR="00C564AF" w:rsidRPr="00EA0289">
        <w:rPr>
          <w:rFonts w:ascii="Times New Roman" w:hAnsi="Times New Roman" w:cs="Times New Roman"/>
          <w:color w:val="000000" w:themeColor="text1"/>
          <w:sz w:val="24"/>
          <w:szCs w:val="24"/>
        </w:rPr>
        <w:t xml:space="preserve">najvećim dijelom </w:t>
      </w:r>
      <w:r w:rsidRPr="00EA0289">
        <w:rPr>
          <w:rFonts w:ascii="Times New Roman" w:hAnsi="Times New Roman" w:cs="Times New Roman"/>
          <w:color w:val="000000" w:themeColor="text1"/>
          <w:sz w:val="24"/>
          <w:szCs w:val="24"/>
        </w:rPr>
        <w:t>realizi</w:t>
      </w:r>
      <w:r w:rsidR="003C0292" w:rsidRPr="00EA0289">
        <w:rPr>
          <w:rFonts w:ascii="Times New Roman" w:hAnsi="Times New Roman" w:cs="Times New Roman"/>
          <w:color w:val="000000" w:themeColor="text1"/>
          <w:sz w:val="24"/>
          <w:szCs w:val="24"/>
        </w:rPr>
        <w:t xml:space="preserve">rati iz izvora Vlastiti prihodi, a jedan dio iz izvora Pomoći ukoliko budu ostvareni  projekti na koje se škola prijavila.  </w:t>
      </w:r>
      <w:r w:rsidRPr="00EA0289">
        <w:rPr>
          <w:rFonts w:ascii="Times New Roman" w:hAnsi="Times New Roman" w:cs="Times New Roman"/>
          <w:color w:val="000000" w:themeColor="text1"/>
          <w:sz w:val="24"/>
          <w:szCs w:val="24"/>
        </w:rPr>
        <w:t xml:space="preserve"> </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2.3. Preneseni rezultat</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 xml:space="preserve">Višak/manjak iz prethodne(ih) godine koji će se pokriti/rasporediti iznosi </w:t>
      </w:r>
      <w:r w:rsidR="002104C6">
        <w:rPr>
          <w:rFonts w:ascii="Times New Roman" w:hAnsi="Times New Roman" w:cs="Times New Roman"/>
          <w:color w:val="000000" w:themeColor="text1"/>
          <w:sz w:val="24"/>
          <w:szCs w:val="24"/>
        </w:rPr>
        <w:t>29.040,00</w:t>
      </w:r>
      <w:r w:rsidR="003C0292" w:rsidRPr="00EA0289">
        <w:rPr>
          <w:rFonts w:ascii="Times New Roman" w:hAnsi="Times New Roman" w:cs="Times New Roman"/>
          <w:color w:val="000000" w:themeColor="text1"/>
          <w:sz w:val="24"/>
          <w:szCs w:val="24"/>
        </w:rPr>
        <w:t xml:space="preserve"> </w:t>
      </w:r>
      <w:r w:rsidR="00592575" w:rsidRPr="00EA0289">
        <w:rPr>
          <w:rFonts w:ascii="Times New Roman" w:hAnsi="Times New Roman" w:cs="Times New Roman"/>
          <w:color w:val="000000" w:themeColor="text1"/>
          <w:sz w:val="24"/>
          <w:szCs w:val="24"/>
        </w:rPr>
        <w:t>EUR</w:t>
      </w:r>
      <w:r w:rsidRPr="00EA0289">
        <w:rPr>
          <w:rFonts w:ascii="Times New Roman" w:hAnsi="Times New Roman" w:cs="Times New Roman"/>
          <w:color w:val="000000" w:themeColor="text1"/>
          <w:sz w:val="24"/>
          <w:szCs w:val="24"/>
        </w:rPr>
        <w:t>, a riječ je o višku iz prethodne godine. Procijenjeni višak prihoda planira se rasporediti u potpunosti u 2</w:t>
      </w:r>
      <w:r w:rsidR="002104C6">
        <w:rPr>
          <w:rFonts w:ascii="Times New Roman" w:hAnsi="Times New Roman" w:cs="Times New Roman"/>
          <w:color w:val="000000" w:themeColor="text1"/>
          <w:sz w:val="24"/>
          <w:szCs w:val="24"/>
        </w:rPr>
        <w:t>026</w:t>
      </w:r>
      <w:r w:rsidRPr="00EA0289">
        <w:rPr>
          <w:rFonts w:ascii="Times New Roman" w:hAnsi="Times New Roman" w:cs="Times New Roman"/>
          <w:color w:val="000000" w:themeColor="text1"/>
          <w:sz w:val="24"/>
          <w:szCs w:val="24"/>
        </w:rPr>
        <w:t>.g.</w:t>
      </w:r>
    </w:p>
    <w:p w:rsidR="008251BE" w:rsidRPr="00EA0289" w:rsidRDefault="008251BE" w:rsidP="008251BE">
      <w:pPr>
        <w:spacing w:line="276" w:lineRule="auto"/>
        <w:jc w:val="both"/>
        <w:rPr>
          <w:rFonts w:ascii="Times New Roman" w:hAnsi="Times New Roman" w:cs="Times New Roman"/>
          <w:color w:val="000000" w:themeColor="text1"/>
          <w:sz w:val="24"/>
          <w:szCs w:val="24"/>
          <w:u w:val="single"/>
        </w:rPr>
      </w:pPr>
      <w:r w:rsidRPr="00EA0289">
        <w:rPr>
          <w:rFonts w:ascii="Times New Roman" w:hAnsi="Times New Roman" w:cs="Times New Roman"/>
          <w:color w:val="000000" w:themeColor="text1"/>
          <w:sz w:val="24"/>
          <w:szCs w:val="24"/>
          <w:u w:val="single"/>
        </w:rPr>
        <w:t>3. RAČUN FINANCIRANJA</w:t>
      </w:r>
    </w:p>
    <w:p w:rsidR="008251BE" w:rsidRPr="00EA0289" w:rsidRDefault="008251BE" w:rsidP="008251BE">
      <w:pPr>
        <w:spacing w:line="276" w:lineRule="auto"/>
        <w:jc w:val="both"/>
        <w:rPr>
          <w:rFonts w:ascii="Times New Roman" w:hAnsi="Times New Roman" w:cs="Times New Roman"/>
          <w:color w:val="000000" w:themeColor="text1"/>
          <w:sz w:val="24"/>
          <w:szCs w:val="24"/>
        </w:rPr>
      </w:pPr>
      <w:r w:rsidRPr="00EA0289">
        <w:rPr>
          <w:rFonts w:ascii="Times New Roman" w:hAnsi="Times New Roman" w:cs="Times New Roman"/>
          <w:color w:val="000000" w:themeColor="text1"/>
          <w:sz w:val="24"/>
          <w:szCs w:val="24"/>
        </w:rPr>
        <w:t>U Računu financiranja nisu planirani primici od financijske imovine i zaduživanja te izdaci za financijsku imovinu i za otplatu kredita i zajmova.</w:t>
      </w:r>
    </w:p>
    <w:p w:rsidR="007D1AD0" w:rsidRPr="00EA0289" w:rsidRDefault="007D1AD0" w:rsidP="007D1AD0">
      <w:pPr>
        <w:spacing w:after="0" w:line="276" w:lineRule="auto"/>
        <w:jc w:val="center"/>
        <w:rPr>
          <w:rFonts w:ascii="Times New Roman" w:hAnsi="Times New Roman" w:cs="Times New Roman"/>
          <w:b/>
          <w:color w:val="000000" w:themeColor="text1"/>
          <w:sz w:val="24"/>
          <w:szCs w:val="24"/>
        </w:rPr>
      </w:pPr>
      <w:r w:rsidRPr="00EA0289">
        <w:rPr>
          <w:rFonts w:ascii="Times New Roman" w:hAnsi="Times New Roman" w:cs="Times New Roman"/>
          <w:b/>
          <w:color w:val="000000" w:themeColor="text1"/>
          <w:sz w:val="24"/>
          <w:szCs w:val="24"/>
        </w:rPr>
        <w:t>OBRAZLOŽENJE POSEBNOG DIJELA FINANCIJSKOG PLANA ZA</w:t>
      </w:r>
    </w:p>
    <w:p w:rsidR="007D1AD0" w:rsidRPr="00EA0289" w:rsidRDefault="00ED3F05" w:rsidP="007D1AD0">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2026. GODINU I PROJEKCIJA ZA 2027. I 2028</w:t>
      </w:r>
      <w:r w:rsidR="007D1AD0" w:rsidRPr="00EA0289">
        <w:rPr>
          <w:rFonts w:ascii="Times New Roman" w:hAnsi="Times New Roman" w:cs="Times New Roman"/>
          <w:b/>
          <w:color w:val="000000" w:themeColor="text1"/>
          <w:sz w:val="24"/>
          <w:szCs w:val="24"/>
        </w:rPr>
        <w:t>. GODINU</w:t>
      </w:r>
    </w:p>
    <w:p w:rsidR="007D1AD0" w:rsidRPr="00EA0289" w:rsidRDefault="007D1AD0" w:rsidP="007D1AD0">
      <w:pPr>
        <w:spacing w:line="276" w:lineRule="auto"/>
        <w:jc w:val="both"/>
        <w:rPr>
          <w:rFonts w:ascii="Times New Roman" w:hAnsi="Times New Roman" w:cs="Times New Roman"/>
          <w:color w:val="000000" w:themeColor="text1"/>
          <w:sz w:val="24"/>
          <w:szCs w:val="24"/>
        </w:rPr>
      </w:pPr>
    </w:p>
    <w:p w:rsidR="007D1AD0" w:rsidRPr="00EA0289" w:rsidRDefault="00592575" w:rsidP="00592575">
      <w:pPr>
        <w:rPr>
          <w:rFonts w:ascii="Times New Roman" w:hAnsi="Times New Roman" w:cs="Times New Roman"/>
          <w:sz w:val="24"/>
          <w:szCs w:val="24"/>
        </w:rPr>
      </w:pPr>
      <w:r w:rsidRPr="00EA0289">
        <w:rPr>
          <w:rFonts w:ascii="Times New Roman" w:hAnsi="Times New Roman" w:cs="Times New Roman"/>
          <w:sz w:val="24"/>
          <w:szCs w:val="24"/>
        </w:rPr>
        <w:t>Čl. 36</w:t>
      </w:r>
      <w:r w:rsidR="007D1AD0" w:rsidRPr="00EA0289">
        <w:rPr>
          <w:rFonts w:ascii="Times New Roman" w:hAnsi="Times New Roman" w:cs="Times New Roman"/>
          <w:sz w:val="24"/>
          <w:szCs w:val="24"/>
        </w:rPr>
        <w:t xml:space="preserve">. Zakona o proračunu propisano je da </w:t>
      </w:r>
      <w:r w:rsidRPr="00EA0289">
        <w:rPr>
          <w:rFonts w:ascii="Times New Roman" w:hAnsi="Times New Roman" w:cs="Times New Roman"/>
          <w:sz w:val="24"/>
          <w:szCs w:val="24"/>
        </w:rPr>
        <w:t xml:space="preserve">se </w:t>
      </w:r>
      <w:r w:rsidR="007D1AD0" w:rsidRPr="00EA0289">
        <w:rPr>
          <w:rFonts w:ascii="Times New Roman" w:hAnsi="Times New Roman" w:cs="Times New Roman"/>
          <w:sz w:val="24"/>
          <w:szCs w:val="24"/>
        </w:rPr>
        <w:t xml:space="preserve">obrazloženje posebnog dijela </w:t>
      </w:r>
      <w:r w:rsidRPr="00EA0289">
        <w:rPr>
          <w:rFonts w:ascii="Times New Roman" w:hAnsi="Times New Roman" w:cs="Times New Roman"/>
          <w:sz w:val="24"/>
          <w:szCs w:val="24"/>
        </w:rPr>
        <w:t>financijskog plana sastoji od obrazloženja programa koje se daje kroz obrazloženje aktivnosti i projekata zajedno s ciljevima i pokazateljima uspješnosti iz akata strateškog planiranja i godišnjeg plana rada. Rashodi i izdaci iskazani su po izvorima financiranja i ekonomskoj klasifikaciji na razini skupine, raspoređeni u programe koji se sastoje od aktivnosti i projekata.</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Proračunske klasifikacije propisuje Pravilnik o proračunskim klasifikacijama</w:t>
      </w:r>
      <w:r w:rsidR="00592575" w:rsidRPr="00EA0289">
        <w:rPr>
          <w:rFonts w:ascii="Times New Roman" w:hAnsi="Times New Roman" w:cs="Times New Roman"/>
          <w:sz w:val="24"/>
          <w:szCs w:val="24"/>
        </w:rPr>
        <w:t xml:space="preserve">. </w:t>
      </w:r>
      <w:r w:rsidRPr="00EA0289">
        <w:rPr>
          <w:rFonts w:ascii="Times New Roman" w:hAnsi="Times New Roman" w:cs="Times New Roman"/>
          <w:sz w:val="24"/>
          <w:szCs w:val="24"/>
        </w:rPr>
        <w:t>Programska klasifikacija uspostavlja se definiranjem programa, aktivnosti i projekata, a kod državnog proračuna i proračuna jedinica lokalne i područne (regionalne) samouprave i definiranjem glavnih programa.</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 xml:space="preserve">Glavni program sastoji se od programa usmjerenih ispunjenju ciljeva iz Strategije Vladinih programa za trogodišnje razdoblje odnosno strateških dokumenata jedinica lokalne i područne (regionalne) samouprave. Gimnazija je dio jednog </w:t>
      </w:r>
      <w:r w:rsidRPr="00EA0289">
        <w:rPr>
          <w:rFonts w:ascii="Times New Roman" w:hAnsi="Times New Roman" w:cs="Times New Roman"/>
          <w:b/>
          <w:sz w:val="24"/>
          <w:szCs w:val="24"/>
        </w:rPr>
        <w:t>glavnog programa</w:t>
      </w:r>
      <w:r w:rsidRPr="00EA0289">
        <w:rPr>
          <w:rFonts w:ascii="Times New Roman" w:hAnsi="Times New Roman" w:cs="Times New Roman"/>
          <w:sz w:val="24"/>
          <w:szCs w:val="24"/>
        </w:rPr>
        <w:t xml:space="preserve">: </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b/>
          <w:bCs/>
          <w:sz w:val="24"/>
          <w:szCs w:val="24"/>
        </w:rPr>
        <w:t>A05 OBRAZOVANJE, ŠPORT I KULTURA</w:t>
      </w:r>
      <w:r w:rsidRPr="00EA0289">
        <w:rPr>
          <w:rFonts w:ascii="Times New Roman" w:hAnsi="Times New Roman" w:cs="Times New Roman"/>
          <w:sz w:val="24"/>
          <w:szCs w:val="24"/>
        </w:rPr>
        <w:t>.</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 xml:space="preserve">Program je skup neovisnih, usko povezanih aktivnosti i projekata usmjerenih ispunjenju zajedničkog cilja. Gimnazija ima jedan </w:t>
      </w:r>
      <w:r w:rsidRPr="00EA0289">
        <w:rPr>
          <w:rFonts w:ascii="Times New Roman" w:hAnsi="Times New Roman" w:cs="Times New Roman"/>
          <w:b/>
          <w:sz w:val="24"/>
          <w:szCs w:val="24"/>
        </w:rPr>
        <w:t>program</w:t>
      </w:r>
      <w:r w:rsidRPr="00EA0289">
        <w:rPr>
          <w:rFonts w:ascii="Times New Roman" w:hAnsi="Times New Roman" w:cs="Times New Roman"/>
          <w:sz w:val="24"/>
          <w:szCs w:val="24"/>
        </w:rPr>
        <w:t xml:space="preserve">: </w:t>
      </w:r>
      <w:r w:rsidRPr="00EA0289">
        <w:rPr>
          <w:rFonts w:ascii="Times New Roman" w:hAnsi="Times New Roman" w:cs="Times New Roman"/>
          <w:b/>
          <w:bCs/>
          <w:sz w:val="24"/>
          <w:szCs w:val="24"/>
        </w:rPr>
        <w:t>6000 Odgoj i obrazovanje</w:t>
      </w:r>
      <w:r w:rsidRPr="00EA0289">
        <w:rPr>
          <w:rFonts w:ascii="Times New Roman" w:hAnsi="Times New Roman" w:cs="Times New Roman"/>
          <w:sz w:val="24"/>
          <w:szCs w:val="24"/>
        </w:rPr>
        <w:t xml:space="preserve"> koji je dio glavnog program A05 Obrazovanje, šport i kultura. </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lastRenderedPageBreak/>
        <w:t>Prema navedenom Pravilniku, program se sastoji od jedne ili više aktivnosti i/ili projekata, a aktivnost i projekt pripadaju samo jednom programu. Unutar programa 6000 Odgoj i obrazovanje Gimnazija ima sljedeće aktivnosti i projekte:</w:t>
      </w:r>
    </w:p>
    <w:p w:rsidR="007D1AD0" w:rsidRPr="00EA0289" w:rsidRDefault="007D1AD0" w:rsidP="007D1AD0">
      <w:pPr>
        <w:numPr>
          <w:ilvl w:val="0"/>
          <w:numId w:val="5"/>
        </w:numPr>
        <w:contextualSpacing/>
        <w:rPr>
          <w:rFonts w:ascii="Times New Roman" w:hAnsi="Times New Roman" w:cs="Times New Roman"/>
          <w:sz w:val="24"/>
          <w:szCs w:val="24"/>
        </w:rPr>
      </w:pPr>
      <w:r w:rsidRPr="00EA0289">
        <w:rPr>
          <w:rFonts w:ascii="Times New Roman" w:hAnsi="Times New Roman" w:cs="Times New Roman"/>
          <w:sz w:val="24"/>
          <w:szCs w:val="24"/>
        </w:rPr>
        <w:t xml:space="preserve">Aktivnost </w:t>
      </w:r>
      <w:r w:rsidRPr="00EA0289">
        <w:rPr>
          <w:rFonts w:ascii="Times New Roman" w:hAnsi="Times New Roman" w:cs="Times New Roman"/>
          <w:b/>
          <w:bCs/>
          <w:sz w:val="24"/>
          <w:szCs w:val="24"/>
        </w:rPr>
        <w:t>A600004 Srednje školstvo</w:t>
      </w:r>
    </w:p>
    <w:p w:rsidR="007D1AD0" w:rsidRPr="00EA0289" w:rsidRDefault="007D1AD0" w:rsidP="007D1AD0">
      <w:pPr>
        <w:numPr>
          <w:ilvl w:val="0"/>
          <w:numId w:val="5"/>
        </w:numPr>
        <w:contextualSpacing/>
        <w:rPr>
          <w:rFonts w:ascii="Times New Roman" w:hAnsi="Times New Roman" w:cs="Times New Roman"/>
          <w:sz w:val="24"/>
          <w:szCs w:val="24"/>
        </w:rPr>
      </w:pPr>
      <w:r w:rsidRPr="00EA0289">
        <w:rPr>
          <w:rFonts w:ascii="Times New Roman" w:hAnsi="Times New Roman" w:cs="Times New Roman"/>
          <w:sz w:val="24"/>
          <w:szCs w:val="24"/>
        </w:rPr>
        <w:t xml:space="preserve">Aktivnost </w:t>
      </w:r>
      <w:r w:rsidRPr="00EA0289">
        <w:rPr>
          <w:rFonts w:ascii="Times New Roman" w:hAnsi="Times New Roman" w:cs="Times New Roman"/>
          <w:b/>
          <w:bCs/>
          <w:sz w:val="24"/>
          <w:szCs w:val="24"/>
        </w:rPr>
        <w:t>A600007 Financiranje iznad minimalnog standarda-srednje školstvo</w:t>
      </w:r>
    </w:p>
    <w:p w:rsidR="007D1AD0" w:rsidRPr="00EA0289" w:rsidRDefault="007D1AD0" w:rsidP="007D1AD0">
      <w:pPr>
        <w:numPr>
          <w:ilvl w:val="0"/>
          <w:numId w:val="5"/>
        </w:numPr>
        <w:contextualSpacing/>
        <w:rPr>
          <w:rFonts w:ascii="Times New Roman" w:hAnsi="Times New Roman" w:cs="Times New Roman"/>
          <w:sz w:val="24"/>
          <w:szCs w:val="24"/>
        </w:rPr>
      </w:pPr>
      <w:r w:rsidRPr="00EA0289">
        <w:rPr>
          <w:rFonts w:ascii="Times New Roman" w:hAnsi="Times New Roman" w:cs="Times New Roman"/>
          <w:sz w:val="24"/>
          <w:szCs w:val="24"/>
        </w:rPr>
        <w:t xml:space="preserve">Kapitalni projekt </w:t>
      </w:r>
      <w:r w:rsidRPr="00EA0289">
        <w:rPr>
          <w:rFonts w:ascii="Times New Roman" w:hAnsi="Times New Roman" w:cs="Times New Roman"/>
          <w:b/>
          <w:bCs/>
          <w:sz w:val="24"/>
          <w:szCs w:val="24"/>
        </w:rPr>
        <w:t>K600005 Ulaganja u srednje škole</w:t>
      </w:r>
      <w:r w:rsidRPr="00EA0289">
        <w:rPr>
          <w:rFonts w:ascii="Times New Roman" w:hAnsi="Times New Roman" w:cs="Times New Roman"/>
          <w:sz w:val="24"/>
          <w:szCs w:val="24"/>
        </w:rPr>
        <w:t>.</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Aktivnost je dio programa za koji nije unaprijed utvrđeno vrijeme trajanja, a u kojem su planirani rashodi i izdaci za ostvarivanje ciljeva utvrđenih programom.</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Projekt je dio programa za koji je unaprijed utvrđeno vrijeme trajanja, a u kojem su planirani rashodi i izdaci za ostvarivanje ciljeva utvrđenih programom. Projekt se planira jednokratno, a može biti tekući ili kapitalni.</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Nadležni razdjel Brodsko-posavske županije utvrđuje programe i zajedničke aktivnosti i projekte za proračunske korisnike iz svoje nadležnosti.</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Sve aktivnosti i projekte razdjel grupira u programe, a zatim programe, aktivnosti i projekte prijavljuje upravnom tijelu za financije Brodsko-posavske županije.</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O utvrđenoj programskoj klasifikaciji razdjeli obavještavaju proračunske korisnike iz svoje nadležnosti.</w:t>
      </w:r>
    </w:p>
    <w:p w:rsidR="007D1AD0" w:rsidRPr="00EA0289" w:rsidRDefault="007D1AD0" w:rsidP="007D1AD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sz w:val="24"/>
          <w:szCs w:val="24"/>
        </w:rPr>
      </w:pPr>
      <w:r w:rsidRPr="00EA0289">
        <w:rPr>
          <w:rFonts w:ascii="Times New Roman" w:hAnsi="Times New Roman" w:cs="Times New Roman"/>
          <w:b/>
          <w:sz w:val="24"/>
          <w:szCs w:val="24"/>
        </w:rPr>
        <w:t>PROGRAM 6000 ODGOJ I OBRAZOVANJE</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 xml:space="preserve">Gimnazija „Matija Mesić“ uključena je u jedan program, brojčane oznake 6000, naziva </w:t>
      </w:r>
      <w:r w:rsidR="00592575" w:rsidRPr="00EA0289">
        <w:rPr>
          <w:rFonts w:ascii="Times New Roman" w:hAnsi="Times New Roman" w:cs="Times New Roman"/>
          <w:sz w:val="24"/>
          <w:szCs w:val="24"/>
        </w:rPr>
        <w:t>Odgoj i obrazovanje</w:t>
      </w:r>
      <w:r w:rsidRPr="00EA0289">
        <w:rPr>
          <w:rFonts w:ascii="Times New Roman" w:hAnsi="Times New Roman" w:cs="Times New Roman"/>
          <w:sz w:val="24"/>
          <w:szCs w:val="24"/>
        </w:rPr>
        <w:t xml:space="preserve"> koji je dodijelio nadležni razdjel Brodsko-posavske županije. Riječ je o programskoj klasifikaciji unutar koje se ostvaruju aktivnosti, podprogrami i projekti definirani Školskim kurikulumom za svaku školsku godinu. </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Cilj glavnog programa je stjecanje trajnog i primjenjivog znanja, omogućiti učenicima osobni razvoj te ih osposobiti za cjeloživotno učenje.</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 xml:space="preserve">Vizija Škole je sretna i zadovoljna zajednica koja uči i učeći se mijenja i razvija. </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 xml:space="preserve">Pored redovne nastave održala se i dodatna i fakultativna nastava te dopunska nastava. </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Pokazatelji uspješnosti predstavljaju podlogu za mjerenje učinkovitosti provedbe programa:</w:t>
      </w:r>
    </w:p>
    <w:tbl>
      <w:tblPr>
        <w:tblStyle w:val="Reetkatablice1"/>
        <w:tblW w:w="8814" w:type="dxa"/>
        <w:tblLook w:val="04A0" w:firstRow="1" w:lastRow="0" w:firstColumn="1" w:lastColumn="0" w:noHBand="0" w:noVBand="1"/>
      </w:tblPr>
      <w:tblGrid>
        <w:gridCol w:w="1917"/>
        <w:gridCol w:w="1277"/>
        <w:gridCol w:w="1024"/>
        <w:gridCol w:w="1158"/>
        <w:gridCol w:w="1122"/>
        <w:gridCol w:w="1158"/>
        <w:gridCol w:w="1158"/>
      </w:tblGrid>
      <w:tr w:rsidR="007D1AD0" w:rsidRPr="00EA0289" w:rsidTr="00A93BEF">
        <w:tc>
          <w:tcPr>
            <w:tcW w:w="1917" w:type="dxa"/>
          </w:tcPr>
          <w:p w:rsidR="007D1AD0" w:rsidRPr="00EA0289" w:rsidRDefault="007D1AD0" w:rsidP="007D1AD0">
            <w:pPr>
              <w:rPr>
                <w:rFonts w:ascii="Times New Roman" w:hAnsi="Times New Roman" w:cs="Times New Roman"/>
                <w:sz w:val="18"/>
                <w:szCs w:val="18"/>
              </w:rPr>
            </w:pPr>
            <w:r w:rsidRPr="00EA0289">
              <w:rPr>
                <w:rFonts w:ascii="Times New Roman" w:hAnsi="Times New Roman" w:cs="Times New Roman"/>
                <w:sz w:val="18"/>
                <w:szCs w:val="18"/>
              </w:rPr>
              <w:t>Pokazatelj rezultata</w:t>
            </w:r>
          </w:p>
        </w:tc>
        <w:tc>
          <w:tcPr>
            <w:tcW w:w="1277" w:type="dxa"/>
          </w:tcPr>
          <w:p w:rsidR="007D1AD0" w:rsidRPr="00EA0289" w:rsidRDefault="007D1AD0" w:rsidP="007D1AD0">
            <w:pPr>
              <w:rPr>
                <w:rFonts w:ascii="Times New Roman" w:hAnsi="Times New Roman" w:cs="Times New Roman"/>
                <w:sz w:val="18"/>
                <w:szCs w:val="18"/>
              </w:rPr>
            </w:pPr>
            <w:r w:rsidRPr="00EA0289">
              <w:rPr>
                <w:rFonts w:ascii="Times New Roman" w:hAnsi="Times New Roman" w:cs="Times New Roman"/>
                <w:sz w:val="18"/>
                <w:szCs w:val="18"/>
              </w:rPr>
              <w:t>Definicija</w:t>
            </w:r>
          </w:p>
        </w:tc>
        <w:tc>
          <w:tcPr>
            <w:tcW w:w="1024"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Jedinica</w:t>
            </w:r>
          </w:p>
        </w:tc>
        <w:tc>
          <w:tcPr>
            <w:tcW w:w="1158"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Polazna vrijednost</w:t>
            </w:r>
          </w:p>
        </w:tc>
        <w:tc>
          <w:tcPr>
            <w:tcW w:w="1122"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Izvor podataka</w:t>
            </w:r>
          </w:p>
        </w:tc>
        <w:tc>
          <w:tcPr>
            <w:tcW w:w="1158" w:type="dxa"/>
          </w:tcPr>
          <w:p w:rsidR="007D1AD0" w:rsidRPr="00EA0289" w:rsidRDefault="0074625C" w:rsidP="007D1AD0">
            <w:pPr>
              <w:jc w:val="center"/>
              <w:rPr>
                <w:rFonts w:ascii="Times New Roman" w:hAnsi="Times New Roman" w:cs="Times New Roman"/>
                <w:sz w:val="18"/>
                <w:szCs w:val="18"/>
              </w:rPr>
            </w:pPr>
            <w:r w:rsidRPr="00EA0289">
              <w:rPr>
                <w:rFonts w:ascii="Times New Roman" w:hAnsi="Times New Roman" w:cs="Times New Roman"/>
                <w:sz w:val="18"/>
                <w:szCs w:val="18"/>
              </w:rPr>
              <w:t>Ciljana vrijednost (2024</w:t>
            </w:r>
            <w:r w:rsidR="007D1AD0" w:rsidRPr="00EA0289">
              <w:rPr>
                <w:rFonts w:ascii="Times New Roman" w:hAnsi="Times New Roman" w:cs="Times New Roman"/>
                <w:sz w:val="18"/>
                <w:szCs w:val="18"/>
              </w:rPr>
              <w:t>.)</w:t>
            </w:r>
          </w:p>
        </w:tc>
        <w:tc>
          <w:tcPr>
            <w:tcW w:w="1158"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Indeks</w:t>
            </w:r>
          </w:p>
        </w:tc>
      </w:tr>
      <w:tr w:rsidR="007D1AD0" w:rsidRPr="00EA0289" w:rsidTr="00A93BEF">
        <w:tc>
          <w:tcPr>
            <w:tcW w:w="1917" w:type="dxa"/>
          </w:tcPr>
          <w:p w:rsidR="007D1AD0" w:rsidRPr="00AE7F44" w:rsidRDefault="007D1AD0" w:rsidP="007D1AD0">
            <w:pPr>
              <w:rPr>
                <w:rFonts w:ascii="Times New Roman" w:hAnsi="Times New Roman" w:cs="Times New Roman"/>
                <w:sz w:val="18"/>
                <w:szCs w:val="18"/>
                <w:lang w:val="hr-HR"/>
              </w:rPr>
            </w:pPr>
            <w:r w:rsidRPr="00AE7F44">
              <w:rPr>
                <w:rFonts w:ascii="Times New Roman" w:hAnsi="Times New Roman" w:cs="Times New Roman"/>
                <w:sz w:val="18"/>
                <w:szCs w:val="18"/>
                <w:lang w:val="hr-HR"/>
              </w:rPr>
              <w:t>Povećanje broja djelatnika uključenih u stručna usavršavanja</w:t>
            </w:r>
          </w:p>
        </w:tc>
        <w:tc>
          <w:tcPr>
            <w:tcW w:w="1277" w:type="dxa"/>
          </w:tcPr>
          <w:p w:rsidR="007D1AD0" w:rsidRPr="00AE7F44" w:rsidRDefault="007D1AD0" w:rsidP="007D1AD0">
            <w:pPr>
              <w:rPr>
                <w:rFonts w:ascii="Times New Roman" w:hAnsi="Times New Roman" w:cs="Times New Roman"/>
                <w:sz w:val="18"/>
                <w:szCs w:val="18"/>
                <w:lang w:val="sv-SE"/>
              </w:rPr>
            </w:pPr>
            <w:r w:rsidRPr="00AE7F44">
              <w:rPr>
                <w:rFonts w:ascii="Times New Roman" w:hAnsi="Times New Roman" w:cs="Times New Roman"/>
                <w:sz w:val="18"/>
                <w:szCs w:val="18"/>
                <w:lang w:val="sv-SE"/>
              </w:rPr>
              <w:t>Nastavnike se potiče na razvoj stručnih kompetencija</w:t>
            </w:r>
          </w:p>
        </w:tc>
        <w:tc>
          <w:tcPr>
            <w:tcW w:w="1024"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Broj</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60</w:t>
            </w:r>
          </w:p>
        </w:tc>
        <w:tc>
          <w:tcPr>
            <w:tcW w:w="1122"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Škola</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65</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92,31</w:t>
            </w:r>
          </w:p>
        </w:tc>
      </w:tr>
      <w:tr w:rsidR="007D1AD0" w:rsidRPr="00EA0289" w:rsidTr="00A93BEF">
        <w:tc>
          <w:tcPr>
            <w:tcW w:w="1917" w:type="dxa"/>
          </w:tcPr>
          <w:p w:rsidR="007D1AD0" w:rsidRPr="00AE7F44" w:rsidRDefault="007D1AD0" w:rsidP="007D1AD0">
            <w:pPr>
              <w:rPr>
                <w:rFonts w:ascii="Times New Roman" w:hAnsi="Times New Roman" w:cs="Times New Roman"/>
                <w:sz w:val="18"/>
                <w:szCs w:val="18"/>
                <w:lang w:val="hr-HR"/>
              </w:rPr>
            </w:pPr>
            <w:r w:rsidRPr="00AE7F44">
              <w:rPr>
                <w:rFonts w:ascii="Times New Roman" w:hAnsi="Times New Roman" w:cs="Times New Roman"/>
                <w:sz w:val="18"/>
                <w:szCs w:val="18"/>
                <w:lang w:val="hr-HR"/>
              </w:rPr>
              <w:t>Povećanje broja učenika uključenih u natjecanja</w:t>
            </w:r>
          </w:p>
        </w:tc>
        <w:tc>
          <w:tcPr>
            <w:tcW w:w="1277" w:type="dxa"/>
          </w:tcPr>
          <w:p w:rsidR="007D1AD0" w:rsidRPr="00AE7F44" w:rsidRDefault="007D1AD0" w:rsidP="007D1AD0">
            <w:pPr>
              <w:rPr>
                <w:rFonts w:ascii="Times New Roman" w:hAnsi="Times New Roman" w:cs="Times New Roman"/>
                <w:sz w:val="18"/>
                <w:szCs w:val="18"/>
                <w:lang w:val="sv-SE"/>
              </w:rPr>
            </w:pPr>
            <w:r w:rsidRPr="00AE7F44">
              <w:rPr>
                <w:rFonts w:ascii="Times New Roman" w:hAnsi="Times New Roman" w:cs="Times New Roman"/>
                <w:sz w:val="18"/>
                <w:szCs w:val="18"/>
                <w:lang w:val="sv-SE"/>
              </w:rPr>
              <w:t>Učenike se potiče na izražavanje sposobnosti za pojedina područja</w:t>
            </w:r>
          </w:p>
        </w:tc>
        <w:tc>
          <w:tcPr>
            <w:tcW w:w="1024"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Broj</w:t>
            </w:r>
          </w:p>
        </w:tc>
        <w:tc>
          <w:tcPr>
            <w:tcW w:w="1158" w:type="dxa"/>
          </w:tcPr>
          <w:p w:rsidR="007D1AD0" w:rsidRPr="00EA0289" w:rsidRDefault="00057915" w:rsidP="007D1AD0">
            <w:pPr>
              <w:jc w:val="center"/>
              <w:rPr>
                <w:rFonts w:ascii="Times New Roman" w:hAnsi="Times New Roman" w:cs="Times New Roman"/>
                <w:sz w:val="18"/>
                <w:szCs w:val="18"/>
              </w:rPr>
            </w:pPr>
            <w:r>
              <w:rPr>
                <w:rFonts w:ascii="Times New Roman" w:hAnsi="Times New Roman" w:cs="Times New Roman"/>
                <w:sz w:val="18"/>
                <w:szCs w:val="18"/>
              </w:rPr>
              <w:t>322</w:t>
            </w:r>
          </w:p>
        </w:tc>
        <w:tc>
          <w:tcPr>
            <w:tcW w:w="1122"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Škola</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330</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97,57</w:t>
            </w:r>
          </w:p>
        </w:tc>
      </w:tr>
      <w:tr w:rsidR="007D1AD0" w:rsidRPr="00EA0289" w:rsidTr="00A93BEF">
        <w:tc>
          <w:tcPr>
            <w:tcW w:w="1917" w:type="dxa"/>
          </w:tcPr>
          <w:p w:rsidR="007D1AD0" w:rsidRPr="00AE7F44" w:rsidRDefault="007D1AD0" w:rsidP="007D1AD0">
            <w:pPr>
              <w:rPr>
                <w:rFonts w:ascii="Times New Roman" w:hAnsi="Times New Roman" w:cs="Times New Roman"/>
                <w:sz w:val="18"/>
                <w:szCs w:val="18"/>
                <w:lang w:val="sv-SE"/>
              </w:rPr>
            </w:pPr>
            <w:r w:rsidRPr="00AE7F44">
              <w:rPr>
                <w:rFonts w:ascii="Times New Roman" w:hAnsi="Times New Roman" w:cs="Times New Roman"/>
                <w:sz w:val="18"/>
                <w:szCs w:val="18"/>
                <w:lang w:val="sv-SE"/>
              </w:rPr>
              <w:t xml:space="preserve">Povećanje broja sudjelovanja na državnim natjecanjima </w:t>
            </w:r>
          </w:p>
        </w:tc>
        <w:tc>
          <w:tcPr>
            <w:tcW w:w="1277" w:type="dxa"/>
          </w:tcPr>
          <w:p w:rsidR="007D1AD0" w:rsidRPr="00AE7F44" w:rsidRDefault="007D1AD0" w:rsidP="007D1AD0">
            <w:pPr>
              <w:rPr>
                <w:rFonts w:ascii="Times New Roman" w:hAnsi="Times New Roman" w:cs="Times New Roman"/>
                <w:sz w:val="18"/>
                <w:szCs w:val="18"/>
                <w:lang w:val="sv-SE"/>
              </w:rPr>
            </w:pPr>
            <w:r w:rsidRPr="00AE7F44">
              <w:rPr>
                <w:rFonts w:ascii="Times New Roman" w:hAnsi="Times New Roman" w:cs="Times New Roman"/>
                <w:sz w:val="18"/>
                <w:szCs w:val="18"/>
                <w:lang w:val="sv-SE"/>
              </w:rPr>
              <w:t xml:space="preserve">Učenike se potiče na izražavanje sposobnosti i </w:t>
            </w:r>
            <w:r w:rsidRPr="00AE7F44">
              <w:rPr>
                <w:rFonts w:ascii="Times New Roman" w:hAnsi="Times New Roman" w:cs="Times New Roman"/>
                <w:sz w:val="18"/>
                <w:szCs w:val="18"/>
                <w:lang w:val="sv-SE"/>
              </w:rPr>
              <w:lastRenderedPageBreak/>
              <w:t>vrednuje rad nastavnika</w:t>
            </w:r>
          </w:p>
        </w:tc>
        <w:tc>
          <w:tcPr>
            <w:tcW w:w="1024"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lastRenderedPageBreak/>
              <w:t>Broj</w:t>
            </w:r>
          </w:p>
        </w:tc>
        <w:tc>
          <w:tcPr>
            <w:tcW w:w="1158" w:type="dxa"/>
          </w:tcPr>
          <w:p w:rsidR="007D1AD0" w:rsidRPr="00EA0289" w:rsidRDefault="00057915" w:rsidP="007D1AD0">
            <w:pPr>
              <w:jc w:val="center"/>
              <w:rPr>
                <w:rFonts w:ascii="Times New Roman" w:hAnsi="Times New Roman" w:cs="Times New Roman"/>
                <w:sz w:val="18"/>
                <w:szCs w:val="18"/>
              </w:rPr>
            </w:pPr>
            <w:r>
              <w:rPr>
                <w:rFonts w:ascii="Times New Roman" w:hAnsi="Times New Roman" w:cs="Times New Roman"/>
                <w:sz w:val="18"/>
                <w:szCs w:val="18"/>
              </w:rPr>
              <w:t>33</w:t>
            </w:r>
          </w:p>
        </w:tc>
        <w:tc>
          <w:tcPr>
            <w:tcW w:w="1122"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Škola</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35</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94,28</w:t>
            </w:r>
          </w:p>
        </w:tc>
      </w:tr>
      <w:tr w:rsidR="007D1AD0" w:rsidRPr="00EA0289" w:rsidTr="00A93BEF">
        <w:tc>
          <w:tcPr>
            <w:tcW w:w="1917" w:type="dxa"/>
          </w:tcPr>
          <w:p w:rsidR="007D1AD0" w:rsidRPr="00AE7F44" w:rsidRDefault="007D1AD0" w:rsidP="007D1AD0">
            <w:pPr>
              <w:rPr>
                <w:rFonts w:ascii="Times New Roman" w:hAnsi="Times New Roman" w:cs="Times New Roman"/>
                <w:sz w:val="18"/>
                <w:szCs w:val="18"/>
                <w:lang w:val="hr-HR"/>
              </w:rPr>
            </w:pPr>
            <w:r w:rsidRPr="00AE7F44">
              <w:rPr>
                <w:rFonts w:ascii="Times New Roman" w:hAnsi="Times New Roman" w:cs="Times New Roman"/>
                <w:sz w:val="18"/>
                <w:szCs w:val="18"/>
                <w:lang w:val="hr-HR"/>
              </w:rPr>
              <w:t>Povećanje broja sudjelovanja na međunarodnim natjecanjima</w:t>
            </w:r>
          </w:p>
        </w:tc>
        <w:tc>
          <w:tcPr>
            <w:tcW w:w="1277" w:type="dxa"/>
          </w:tcPr>
          <w:p w:rsidR="007D1AD0" w:rsidRPr="00AE7F44" w:rsidRDefault="007D1AD0" w:rsidP="007D1AD0">
            <w:pPr>
              <w:rPr>
                <w:rFonts w:ascii="Times New Roman" w:hAnsi="Times New Roman" w:cs="Times New Roman"/>
                <w:sz w:val="18"/>
                <w:szCs w:val="18"/>
                <w:lang w:val="sv-SE"/>
              </w:rPr>
            </w:pPr>
            <w:r w:rsidRPr="00AE7F44">
              <w:rPr>
                <w:rFonts w:ascii="Times New Roman" w:hAnsi="Times New Roman" w:cs="Times New Roman"/>
                <w:sz w:val="18"/>
                <w:szCs w:val="18"/>
                <w:lang w:val="sv-SE"/>
              </w:rPr>
              <w:t>Učenike se potiče na razvoj jezičnih kompetencija te razvoj strukovnih kvalifikacija</w:t>
            </w:r>
          </w:p>
        </w:tc>
        <w:tc>
          <w:tcPr>
            <w:tcW w:w="1024"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Broj</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1</w:t>
            </w:r>
          </w:p>
        </w:tc>
        <w:tc>
          <w:tcPr>
            <w:tcW w:w="1122"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Škola</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4</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25</w:t>
            </w:r>
          </w:p>
        </w:tc>
      </w:tr>
      <w:tr w:rsidR="007D1AD0" w:rsidRPr="00EA0289" w:rsidTr="00A93BEF">
        <w:tc>
          <w:tcPr>
            <w:tcW w:w="1917" w:type="dxa"/>
          </w:tcPr>
          <w:p w:rsidR="007D1AD0" w:rsidRPr="00AE7F44" w:rsidRDefault="007D1AD0" w:rsidP="007D1AD0">
            <w:pPr>
              <w:rPr>
                <w:rFonts w:ascii="Times New Roman" w:hAnsi="Times New Roman" w:cs="Times New Roman"/>
                <w:sz w:val="18"/>
                <w:szCs w:val="18"/>
                <w:lang w:val="sv-SE"/>
              </w:rPr>
            </w:pPr>
            <w:r w:rsidRPr="00AE7F44">
              <w:rPr>
                <w:rFonts w:ascii="Times New Roman" w:hAnsi="Times New Roman" w:cs="Times New Roman"/>
                <w:sz w:val="18"/>
                <w:szCs w:val="18"/>
                <w:lang w:val="sv-SE"/>
              </w:rPr>
              <w:t>Povećanje broja školskih priredbi/manifestacija</w:t>
            </w:r>
          </w:p>
        </w:tc>
        <w:tc>
          <w:tcPr>
            <w:tcW w:w="1277" w:type="dxa"/>
          </w:tcPr>
          <w:p w:rsidR="007D1AD0" w:rsidRPr="00AE7F44" w:rsidRDefault="007D1AD0" w:rsidP="007D1AD0">
            <w:pPr>
              <w:rPr>
                <w:rFonts w:ascii="Times New Roman" w:hAnsi="Times New Roman" w:cs="Times New Roman"/>
                <w:sz w:val="18"/>
                <w:szCs w:val="18"/>
                <w:lang w:val="sv-SE"/>
              </w:rPr>
            </w:pPr>
            <w:r w:rsidRPr="00AE7F44">
              <w:rPr>
                <w:rFonts w:ascii="Times New Roman" w:hAnsi="Times New Roman" w:cs="Times New Roman"/>
                <w:sz w:val="18"/>
                <w:szCs w:val="18"/>
                <w:lang w:val="sv-SE"/>
              </w:rPr>
              <w:t>Učenike se potiče na izražavanje kreativnosti</w:t>
            </w:r>
          </w:p>
        </w:tc>
        <w:tc>
          <w:tcPr>
            <w:tcW w:w="1024"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Broj</w:t>
            </w:r>
          </w:p>
        </w:tc>
        <w:tc>
          <w:tcPr>
            <w:tcW w:w="1158"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20</w:t>
            </w:r>
          </w:p>
        </w:tc>
        <w:tc>
          <w:tcPr>
            <w:tcW w:w="1122" w:type="dxa"/>
          </w:tcPr>
          <w:p w:rsidR="007D1AD0" w:rsidRPr="00EA0289" w:rsidRDefault="007D1AD0" w:rsidP="007D1AD0">
            <w:pPr>
              <w:jc w:val="center"/>
              <w:rPr>
                <w:rFonts w:ascii="Times New Roman" w:hAnsi="Times New Roman" w:cs="Times New Roman"/>
                <w:sz w:val="18"/>
                <w:szCs w:val="18"/>
              </w:rPr>
            </w:pPr>
            <w:r w:rsidRPr="00EA0289">
              <w:rPr>
                <w:rFonts w:ascii="Times New Roman" w:hAnsi="Times New Roman" w:cs="Times New Roman"/>
                <w:sz w:val="18"/>
                <w:szCs w:val="18"/>
              </w:rPr>
              <w:t>Škola</w:t>
            </w:r>
          </w:p>
        </w:tc>
        <w:tc>
          <w:tcPr>
            <w:tcW w:w="1158" w:type="dxa"/>
          </w:tcPr>
          <w:p w:rsidR="007D1AD0" w:rsidRPr="00EA0289" w:rsidRDefault="0064129E" w:rsidP="007D1AD0">
            <w:pPr>
              <w:jc w:val="center"/>
              <w:rPr>
                <w:rFonts w:ascii="Times New Roman" w:hAnsi="Times New Roman" w:cs="Times New Roman"/>
                <w:sz w:val="18"/>
                <w:szCs w:val="18"/>
              </w:rPr>
            </w:pPr>
            <w:r>
              <w:rPr>
                <w:rFonts w:ascii="Times New Roman" w:hAnsi="Times New Roman" w:cs="Times New Roman"/>
                <w:sz w:val="18"/>
                <w:szCs w:val="18"/>
              </w:rPr>
              <w:t>25</w:t>
            </w:r>
          </w:p>
        </w:tc>
        <w:tc>
          <w:tcPr>
            <w:tcW w:w="1158" w:type="dxa"/>
          </w:tcPr>
          <w:p w:rsidR="007D1AD0" w:rsidRPr="00EA0289" w:rsidRDefault="0064129E" w:rsidP="00057915">
            <w:pPr>
              <w:rPr>
                <w:rFonts w:ascii="Times New Roman" w:hAnsi="Times New Roman" w:cs="Times New Roman"/>
                <w:sz w:val="18"/>
                <w:szCs w:val="18"/>
              </w:rPr>
            </w:pPr>
            <w:r>
              <w:rPr>
                <w:rFonts w:ascii="Times New Roman" w:hAnsi="Times New Roman" w:cs="Times New Roman"/>
                <w:sz w:val="18"/>
                <w:szCs w:val="18"/>
              </w:rPr>
              <w:t>80</w:t>
            </w:r>
          </w:p>
        </w:tc>
      </w:tr>
    </w:tbl>
    <w:p w:rsidR="007D1AD0" w:rsidRPr="00EA0289" w:rsidRDefault="007D1AD0" w:rsidP="007D1AD0">
      <w:pPr>
        <w:rPr>
          <w:rFonts w:ascii="Times New Roman" w:hAnsi="Times New Roman" w:cs="Times New Roman"/>
          <w:sz w:val="24"/>
          <w:szCs w:val="24"/>
          <w:u w:val="single"/>
        </w:rPr>
      </w:pPr>
    </w:p>
    <w:p w:rsidR="007D1AD0" w:rsidRPr="00EA0289" w:rsidRDefault="007D1AD0" w:rsidP="007D1AD0">
      <w:pPr>
        <w:rPr>
          <w:rFonts w:ascii="Times New Roman" w:hAnsi="Times New Roman" w:cs="Times New Roman"/>
          <w:sz w:val="24"/>
          <w:szCs w:val="24"/>
          <w:u w:val="single"/>
        </w:rPr>
      </w:pPr>
      <w:r w:rsidRPr="00EA0289">
        <w:rPr>
          <w:rFonts w:ascii="Times New Roman" w:hAnsi="Times New Roman" w:cs="Times New Roman"/>
          <w:sz w:val="24"/>
          <w:szCs w:val="24"/>
          <w:u w:val="single"/>
        </w:rPr>
        <w:t>Aktivnost A600004 Srednje školstvo</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 xml:space="preserve">Za ovu aktivnost na bazi godine planirana su sredstva u iznosu od </w:t>
      </w:r>
      <w:r w:rsidR="0074625C" w:rsidRPr="00EA0289">
        <w:rPr>
          <w:rFonts w:ascii="Times New Roman" w:hAnsi="Times New Roman" w:cs="Times New Roman"/>
          <w:sz w:val="24"/>
          <w:szCs w:val="24"/>
        </w:rPr>
        <w:t>137.538,51</w:t>
      </w:r>
      <w:r w:rsidR="00E86681" w:rsidRPr="00EA0289">
        <w:rPr>
          <w:rFonts w:ascii="Times New Roman" w:hAnsi="Times New Roman" w:cs="Times New Roman"/>
          <w:sz w:val="24"/>
          <w:szCs w:val="24"/>
        </w:rPr>
        <w:t xml:space="preserve"> EUR </w:t>
      </w:r>
      <w:r w:rsidRPr="00EA0289">
        <w:rPr>
          <w:rFonts w:ascii="Times New Roman" w:hAnsi="Times New Roman" w:cs="Times New Roman"/>
          <w:sz w:val="24"/>
          <w:szCs w:val="24"/>
        </w:rPr>
        <w:t xml:space="preserve"> i to iz nadležnog proračuna. Sve podaktivnosti financiraju se iz jednog izvora, opći prihodi i primici (5.2. Decentralizirana sredstva). </w:t>
      </w:r>
      <w:r w:rsidR="00E86681" w:rsidRPr="00EA0289">
        <w:rPr>
          <w:rFonts w:ascii="Times New Roman" w:hAnsi="Times New Roman" w:cs="Times New Roman"/>
          <w:sz w:val="24"/>
          <w:szCs w:val="24"/>
        </w:rPr>
        <w:t>Zbog troškova koji su veći od očekivanih</w:t>
      </w:r>
      <w:r w:rsidRPr="00EA0289">
        <w:rPr>
          <w:rFonts w:ascii="Times New Roman" w:hAnsi="Times New Roman" w:cs="Times New Roman"/>
          <w:sz w:val="24"/>
          <w:szCs w:val="24"/>
        </w:rPr>
        <w:t xml:space="preserve"> uslijed visokih stopa inflacije, odnosno povećanih cijena pojedinih proizvoda, visokih troškova energije te znatno većih rashoda za naknade za dolazak i odlazak s posla uslijed donošenja novog Temeljnog kolektivnog ugovora za službenike i namještenike u javnim službama u svibnju 2022. godine kojim je povećana cijena naknade po prijeđenom kilometru za one zaposlenike koji ostvaruju pravo na isplatu naknade troška prijevoza po kilometrima zbog n</w:t>
      </w:r>
      <w:r w:rsidR="0074625C" w:rsidRPr="00EA0289">
        <w:rPr>
          <w:rFonts w:ascii="Times New Roman" w:hAnsi="Times New Roman" w:cs="Times New Roman"/>
          <w:sz w:val="24"/>
          <w:szCs w:val="24"/>
        </w:rPr>
        <w:t>eorganiziranog javnog prijevoza te povećanje cijene sistematskog pregleda za zaposlenike</w:t>
      </w:r>
      <w:r w:rsidR="00E86681" w:rsidRPr="00EA0289">
        <w:rPr>
          <w:rFonts w:ascii="Times New Roman" w:hAnsi="Times New Roman" w:cs="Times New Roman"/>
          <w:sz w:val="24"/>
          <w:szCs w:val="24"/>
        </w:rPr>
        <w:t xml:space="preserve"> biti će potrebno voditi računa o racionalizaciji ostalih troškova.</w:t>
      </w:r>
    </w:p>
    <w:p w:rsidR="0074625C" w:rsidRPr="00EA0289" w:rsidRDefault="0074625C" w:rsidP="007D1AD0">
      <w:pPr>
        <w:rPr>
          <w:rFonts w:ascii="Times New Roman" w:hAnsi="Times New Roman" w:cs="Times New Roman"/>
          <w:sz w:val="24"/>
          <w:szCs w:val="24"/>
        </w:rPr>
      </w:pPr>
      <w:r w:rsidRPr="00EA0289">
        <w:rPr>
          <w:rFonts w:ascii="Times New Roman" w:hAnsi="Times New Roman" w:cs="Times New Roman"/>
          <w:sz w:val="24"/>
          <w:szCs w:val="24"/>
        </w:rPr>
        <w:t xml:space="preserve">Brodsko- posavska županija ima osnivačka prava nad srednjim školana kojima se odobravaju sredstva za materijalne i financijske rashode prema kriteriju stvarnog troška, a to su sredstva za: </w:t>
      </w:r>
    </w:p>
    <w:p w:rsidR="0074625C" w:rsidRPr="00EA0289" w:rsidRDefault="0074625C" w:rsidP="0074625C">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 xml:space="preserve">Pedagošku </w:t>
      </w:r>
      <w:r w:rsidR="00805B9A" w:rsidRPr="00EA0289">
        <w:rPr>
          <w:rFonts w:ascii="Times New Roman" w:hAnsi="Times New Roman" w:cs="Times New Roman"/>
          <w:sz w:val="24"/>
          <w:szCs w:val="24"/>
        </w:rPr>
        <w:t>dokumentaciju  = 384,40 EUR</w:t>
      </w:r>
    </w:p>
    <w:p w:rsidR="0074625C" w:rsidRPr="00EA0289" w:rsidRDefault="0074625C" w:rsidP="0074625C">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Zdravstvene preglede zaposlenika = 3.</w:t>
      </w:r>
      <w:r w:rsidR="004A1FA3">
        <w:rPr>
          <w:rFonts w:ascii="Times New Roman" w:hAnsi="Times New Roman" w:cs="Times New Roman"/>
          <w:sz w:val="24"/>
          <w:szCs w:val="24"/>
        </w:rPr>
        <w:t>850,00</w:t>
      </w:r>
      <w:r w:rsidRPr="00EA0289">
        <w:rPr>
          <w:rFonts w:ascii="Times New Roman" w:hAnsi="Times New Roman" w:cs="Times New Roman"/>
          <w:sz w:val="24"/>
          <w:szCs w:val="24"/>
        </w:rPr>
        <w:t xml:space="preserve"> </w:t>
      </w:r>
      <w:r w:rsidR="00805B9A" w:rsidRPr="00EA0289">
        <w:rPr>
          <w:rFonts w:ascii="Times New Roman" w:hAnsi="Times New Roman" w:cs="Times New Roman"/>
          <w:sz w:val="24"/>
          <w:szCs w:val="24"/>
        </w:rPr>
        <w:t>EUR</w:t>
      </w:r>
    </w:p>
    <w:p w:rsidR="00805B9A" w:rsidRPr="00EA0289" w:rsidRDefault="00805B9A" w:rsidP="0074625C">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 xml:space="preserve">El. Energija = </w:t>
      </w:r>
      <w:r w:rsidR="004A1FA3">
        <w:rPr>
          <w:rFonts w:ascii="Times New Roman" w:hAnsi="Times New Roman" w:cs="Times New Roman"/>
          <w:sz w:val="24"/>
          <w:szCs w:val="24"/>
        </w:rPr>
        <w:t>5.896,22</w:t>
      </w:r>
      <w:r w:rsidRPr="00EA0289">
        <w:rPr>
          <w:rFonts w:ascii="Times New Roman" w:hAnsi="Times New Roman" w:cs="Times New Roman"/>
          <w:sz w:val="24"/>
          <w:szCs w:val="24"/>
        </w:rPr>
        <w:t xml:space="preserve"> EUR</w:t>
      </w:r>
    </w:p>
    <w:p w:rsidR="00805B9A" w:rsidRPr="00EA0289" w:rsidRDefault="00805B9A" w:rsidP="0074625C">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 xml:space="preserve">Toplinska energija = </w:t>
      </w:r>
      <w:r w:rsidR="004A1FA3">
        <w:rPr>
          <w:rFonts w:ascii="Times New Roman" w:hAnsi="Times New Roman" w:cs="Times New Roman"/>
          <w:sz w:val="24"/>
          <w:szCs w:val="24"/>
        </w:rPr>
        <w:t>49.855,60</w:t>
      </w:r>
      <w:r w:rsidRPr="00EA0289">
        <w:rPr>
          <w:rFonts w:ascii="Times New Roman" w:hAnsi="Times New Roman" w:cs="Times New Roman"/>
          <w:sz w:val="24"/>
          <w:szCs w:val="24"/>
        </w:rPr>
        <w:t xml:space="preserve"> EUR </w:t>
      </w:r>
    </w:p>
    <w:p w:rsidR="0074625C" w:rsidRPr="00EA0289" w:rsidRDefault="00805B9A" w:rsidP="0074625C">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 xml:space="preserve">Prijevoz zaposlenika = </w:t>
      </w:r>
      <w:r w:rsidR="004A1FA3">
        <w:rPr>
          <w:rFonts w:ascii="Times New Roman" w:hAnsi="Times New Roman" w:cs="Times New Roman"/>
          <w:sz w:val="24"/>
          <w:szCs w:val="24"/>
        </w:rPr>
        <w:t>39.000,00</w:t>
      </w:r>
      <w:r w:rsidRPr="00EA0289">
        <w:rPr>
          <w:rFonts w:ascii="Times New Roman" w:hAnsi="Times New Roman" w:cs="Times New Roman"/>
          <w:sz w:val="24"/>
          <w:szCs w:val="24"/>
        </w:rPr>
        <w:t xml:space="preserve"> EUR</w:t>
      </w:r>
    </w:p>
    <w:p w:rsidR="00805B9A" w:rsidRPr="00EA0289" w:rsidRDefault="00805B9A" w:rsidP="00805B9A">
      <w:pPr>
        <w:rPr>
          <w:rFonts w:ascii="Times New Roman" w:hAnsi="Times New Roman" w:cs="Times New Roman"/>
          <w:sz w:val="24"/>
          <w:szCs w:val="24"/>
        </w:rPr>
      </w:pPr>
      <w:r w:rsidRPr="00EA0289">
        <w:rPr>
          <w:rFonts w:ascii="Times New Roman" w:hAnsi="Times New Roman" w:cs="Times New Roman"/>
          <w:sz w:val="24"/>
          <w:szCs w:val="24"/>
        </w:rPr>
        <w:t>Prema kriteriju broja učenika, broja razrednih odjela, broju građevina te broju računala financiraju se sljedeći troškovi:</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Uredski materijal i ostali materijalni rashodi</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Sitan inventar i auto gume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Usluge telefona i pošte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Usluge promidžbe i informiranja</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Komunalne usluge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Premije osiguranja</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Ostale usluge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Intelektualne usluge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Računalne usluge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Reprezentacija</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Članarine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lastRenderedPageBreak/>
        <w:t>Financijske usluge</w:t>
      </w:r>
    </w:p>
    <w:p w:rsidR="00805B9A" w:rsidRPr="00EA0289" w:rsidRDefault="00805B9A" w:rsidP="00805B9A">
      <w:pPr>
        <w:pStyle w:val="Odlomakpopisa"/>
        <w:numPr>
          <w:ilvl w:val="0"/>
          <w:numId w:val="5"/>
        </w:numPr>
        <w:rPr>
          <w:rFonts w:ascii="Times New Roman" w:hAnsi="Times New Roman" w:cs="Times New Roman"/>
          <w:sz w:val="24"/>
          <w:szCs w:val="24"/>
        </w:rPr>
      </w:pPr>
      <w:r w:rsidRPr="00EA0289">
        <w:rPr>
          <w:rFonts w:ascii="Times New Roman" w:hAnsi="Times New Roman" w:cs="Times New Roman"/>
          <w:sz w:val="24"/>
          <w:szCs w:val="24"/>
        </w:rPr>
        <w:t>Ostali nespomenuti rashodi poslovanja</w:t>
      </w:r>
    </w:p>
    <w:p w:rsidR="00805B9A" w:rsidRPr="00EA0289" w:rsidRDefault="00805B9A" w:rsidP="00805B9A">
      <w:pPr>
        <w:rPr>
          <w:rFonts w:ascii="Times New Roman" w:hAnsi="Times New Roman" w:cs="Times New Roman"/>
          <w:sz w:val="24"/>
          <w:szCs w:val="24"/>
        </w:rPr>
      </w:pPr>
      <w:r w:rsidRPr="00EA0289">
        <w:rPr>
          <w:rFonts w:ascii="Times New Roman" w:hAnsi="Times New Roman" w:cs="Times New Roman"/>
          <w:sz w:val="24"/>
          <w:szCs w:val="24"/>
        </w:rPr>
        <w:t xml:space="preserve">Mjerila za ovu vrstu rashoda i navedene kriterije su: </w:t>
      </w:r>
    </w:p>
    <w:p w:rsidR="00805B9A" w:rsidRPr="00EA0289" w:rsidRDefault="00816A9B" w:rsidP="00805B9A">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47,78</w:t>
      </w:r>
      <w:r w:rsidR="00805B9A" w:rsidRPr="00EA0289">
        <w:rPr>
          <w:rFonts w:ascii="Times New Roman" w:hAnsi="Times New Roman" w:cs="Times New Roman"/>
          <w:sz w:val="24"/>
          <w:szCs w:val="24"/>
        </w:rPr>
        <w:t xml:space="preserve"> EUR po učeniku</w:t>
      </w:r>
    </w:p>
    <w:p w:rsidR="00805B9A" w:rsidRPr="00EA0289" w:rsidRDefault="00816A9B" w:rsidP="00805B9A">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318,53</w:t>
      </w:r>
      <w:r w:rsidR="00805B9A" w:rsidRPr="00EA0289">
        <w:rPr>
          <w:rFonts w:ascii="Times New Roman" w:hAnsi="Times New Roman" w:cs="Times New Roman"/>
          <w:sz w:val="24"/>
          <w:szCs w:val="24"/>
        </w:rPr>
        <w:t xml:space="preserve"> EUR po razrednom odjelu</w:t>
      </w:r>
    </w:p>
    <w:p w:rsidR="00805B9A" w:rsidRPr="00EA0289" w:rsidRDefault="00816A9B" w:rsidP="00805B9A">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 xml:space="preserve">3.344,61 </w:t>
      </w:r>
      <w:r w:rsidR="00805B9A" w:rsidRPr="00EA0289">
        <w:rPr>
          <w:rFonts w:ascii="Times New Roman" w:hAnsi="Times New Roman" w:cs="Times New Roman"/>
          <w:sz w:val="24"/>
          <w:szCs w:val="24"/>
        </w:rPr>
        <w:t>EUR po broju građevina</w:t>
      </w:r>
    </w:p>
    <w:p w:rsidR="00805B9A" w:rsidRPr="00EA0289" w:rsidRDefault="00816A9B" w:rsidP="00805B9A">
      <w:pPr>
        <w:pStyle w:val="Odlomakpopisa"/>
        <w:numPr>
          <w:ilvl w:val="0"/>
          <w:numId w:val="5"/>
        </w:numPr>
        <w:rPr>
          <w:rFonts w:ascii="Times New Roman" w:hAnsi="Times New Roman" w:cs="Times New Roman"/>
          <w:sz w:val="24"/>
          <w:szCs w:val="24"/>
        </w:rPr>
      </w:pPr>
      <w:r>
        <w:rPr>
          <w:rFonts w:ascii="Times New Roman" w:hAnsi="Times New Roman" w:cs="Times New Roman"/>
          <w:sz w:val="24"/>
          <w:szCs w:val="24"/>
        </w:rPr>
        <w:t>31,85</w:t>
      </w:r>
      <w:r w:rsidR="00805B9A" w:rsidRPr="00EA0289">
        <w:rPr>
          <w:rFonts w:ascii="Times New Roman" w:hAnsi="Times New Roman" w:cs="Times New Roman"/>
          <w:sz w:val="24"/>
          <w:szCs w:val="24"/>
        </w:rPr>
        <w:t xml:space="preserve"> EUR po računalu</w:t>
      </w:r>
    </w:p>
    <w:p w:rsidR="00EA0289" w:rsidRPr="00EA0289" w:rsidRDefault="00805B9A" w:rsidP="00805B9A">
      <w:pPr>
        <w:rPr>
          <w:rFonts w:ascii="Times New Roman" w:hAnsi="Times New Roman" w:cs="Times New Roman"/>
          <w:sz w:val="24"/>
          <w:szCs w:val="24"/>
        </w:rPr>
      </w:pPr>
      <w:r w:rsidRPr="00EA0289">
        <w:rPr>
          <w:rFonts w:ascii="Times New Roman" w:hAnsi="Times New Roman" w:cs="Times New Roman"/>
          <w:sz w:val="24"/>
          <w:szCs w:val="24"/>
        </w:rPr>
        <w:t>Financ</w:t>
      </w:r>
      <w:r w:rsidR="00973E02">
        <w:rPr>
          <w:rFonts w:ascii="Times New Roman" w:hAnsi="Times New Roman" w:cs="Times New Roman"/>
          <w:sz w:val="24"/>
          <w:szCs w:val="24"/>
        </w:rPr>
        <w:t xml:space="preserve">ijski plan je rađen na bazi 520 učenika, 28 razrednih </w:t>
      </w:r>
      <w:r w:rsidRPr="00EA0289">
        <w:rPr>
          <w:rFonts w:ascii="Times New Roman" w:hAnsi="Times New Roman" w:cs="Times New Roman"/>
          <w:sz w:val="24"/>
          <w:szCs w:val="24"/>
        </w:rPr>
        <w:t>odjela, 2 građevin</w:t>
      </w:r>
      <w:r w:rsidR="00973E02">
        <w:rPr>
          <w:rFonts w:ascii="Times New Roman" w:hAnsi="Times New Roman" w:cs="Times New Roman"/>
          <w:sz w:val="24"/>
          <w:szCs w:val="24"/>
        </w:rPr>
        <w:t>e  (zgrada škole i dvorana), 158</w:t>
      </w:r>
      <w:r w:rsidRPr="00EA0289">
        <w:rPr>
          <w:rFonts w:ascii="Times New Roman" w:hAnsi="Times New Roman" w:cs="Times New Roman"/>
          <w:sz w:val="24"/>
          <w:szCs w:val="24"/>
        </w:rPr>
        <w:t xml:space="preserve"> računala , u ukupnom iznosu </w:t>
      </w:r>
      <w:r w:rsidR="00816A9B">
        <w:rPr>
          <w:rFonts w:ascii="Times New Roman" w:hAnsi="Times New Roman" w:cs="Times New Roman"/>
          <w:sz w:val="24"/>
          <w:szCs w:val="24"/>
        </w:rPr>
        <w:t>45.485,96</w:t>
      </w:r>
      <w:r w:rsidRPr="00EA0289">
        <w:rPr>
          <w:rFonts w:ascii="Times New Roman" w:hAnsi="Times New Roman" w:cs="Times New Roman"/>
          <w:sz w:val="24"/>
          <w:szCs w:val="24"/>
        </w:rPr>
        <w:t xml:space="preserve"> EUR. </w:t>
      </w:r>
      <w:r w:rsidR="00EA0289" w:rsidRPr="00EA0289">
        <w:rPr>
          <w:rFonts w:ascii="Times New Roman" w:hAnsi="Times New Roman" w:cs="Times New Roman"/>
          <w:sz w:val="24"/>
          <w:szCs w:val="24"/>
        </w:rPr>
        <w:t>Ukupni plan prihoda i izdataka financiran iz sredstava županijskog pr</w:t>
      </w:r>
      <w:r w:rsidR="00973E02">
        <w:rPr>
          <w:rFonts w:ascii="Times New Roman" w:hAnsi="Times New Roman" w:cs="Times New Roman"/>
          <w:sz w:val="24"/>
          <w:szCs w:val="24"/>
        </w:rPr>
        <w:t>oračuna za 2026</w:t>
      </w:r>
      <w:r w:rsidR="00EA0289" w:rsidRPr="00EA0289">
        <w:rPr>
          <w:rFonts w:ascii="Times New Roman" w:hAnsi="Times New Roman" w:cs="Times New Roman"/>
          <w:sz w:val="24"/>
          <w:szCs w:val="24"/>
        </w:rPr>
        <w:t xml:space="preserve">. godinu iznosi 137.538,51 EUR, a materijalni ostali rashodi razvrstani su prema računskom planu proračuna, odnosno prema vrsti troška. </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Kroz aktivnost Srednje obrazovanje planiraju se ostvariti sljedeći ciljevi:</w:t>
      </w:r>
    </w:p>
    <w:p w:rsidR="007D1AD0" w:rsidRPr="00EA0289" w:rsidRDefault="007D1AD0" w:rsidP="007D1AD0">
      <w:pPr>
        <w:numPr>
          <w:ilvl w:val="0"/>
          <w:numId w:val="5"/>
        </w:numPr>
        <w:contextualSpacing/>
        <w:rPr>
          <w:rFonts w:ascii="Times New Roman" w:hAnsi="Times New Roman" w:cs="Times New Roman"/>
          <w:sz w:val="24"/>
          <w:szCs w:val="24"/>
        </w:rPr>
      </w:pPr>
      <w:r w:rsidRPr="00EA0289">
        <w:rPr>
          <w:rFonts w:ascii="Times New Roman" w:hAnsi="Times New Roman" w:cs="Times New Roman"/>
          <w:sz w:val="24"/>
          <w:szCs w:val="24"/>
        </w:rPr>
        <w:t>Osigurati stalno stručno usavršavanje nastavnika (seminari, stručni skupovi, aktivi) čime se podiže kvaliteta nastave na višu razinu;</w:t>
      </w:r>
    </w:p>
    <w:p w:rsidR="007D1AD0" w:rsidRPr="00EA0289" w:rsidRDefault="007D1AD0" w:rsidP="007D1AD0">
      <w:pPr>
        <w:numPr>
          <w:ilvl w:val="0"/>
          <w:numId w:val="5"/>
        </w:numPr>
        <w:contextualSpacing/>
        <w:rPr>
          <w:rFonts w:ascii="Times New Roman" w:hAnsi="Times New Roman" w:cs="Times New Roman"/>
          <w:sz w:val="24"/>
          <w:szCs w:val="24"/>
        </w:rPr>
      </w:pPr>
      <w:r w:rsidRPr="00EA0289">
        <w:rPr>
          <w:rFonts w:ascii="Times New Roman" w:hAnsi="Times New Roman" w:cs="Times New Roman"/>
          <w:sz w:val="24"/>
          <w:szCs w:val="24"/>
        </w:rPr>
        <w:t>Učenici su poticani na izražavanje kreativnosti, talenata i sposobn</w:t>
      </w:r>
      <w:r w:rsidR="0074625C" w:rsidRPr="00EA0289">
        <w:rPr>
          <w:rFonts w:ascii="Times New Roman" w:hAnsi="Times New Roman" w:cs="Times New Roman"/>
          <w:sz w:val="24"/>
          <w:szCs w:val="24"/>
        </w:rPr>
        <w:t>o</w:t>
      </w:r>
      <w:r w:rsidRPr="00EA0289">
        <w:rPr>
          <w:rFonts w:ascii="Times New Roman" w:hAnsi="Times New Roman" w:cs="Times New Roman"/>
          <w:sz w:val="24"/>
          <w:szCs w:val="24"/>
        </w:rPr>
        <w:t>sti kroz uključivanje u slobodne aktivnosti, natjecanja i druge školske projekte, priredbe i manifestacije;</w:t>
      </w:r>
    </w:p>
    <w:p w:rsidR="007D1AD0" w:rsidRPr="00EA0289" w:rsidRDefault="007D1AD0" w:rsidP="007D1AD0">
      <w:pPr>
        <w:numPr>
          <w:ilvl w:val="0"/>
          <w:numId w:val="5"/>
        </w:numPr>
        <w:contextualSpacing/>
        <w:rPr>
          <w:rFonts w:ascii="Times New Roman" w:hAnsi="Times New Roman" w:cs="Times New Roman"/>
          <w:sz w:val="24"/>
          <w:szCs w:val="24"/>
        </w:rPr>
      </w:pPr>
      <w:r w:rsidRPr="00EA0289">
        <w:rPr>
          <w:rFonts w:ascii="Times New Roman" w:hAnsi="Times New Roman" w:cs="Times New Roman"/>
          <w:sz w:val="24"/>
          <w:szCs w:val="24"/>
        </w:rPr>
        <w:t>Osiguranje optimalnih materijalno-tehničkih uvjeta za kvalitetan i učinkovit odgojno-obrazovni rad</w:t>
      </w:r>
    </w:p>
    <w:p w:rsidR="007D1AD0" w:rsidRPr="00EA0289" w:rsidRDefault="007D1AD0" w:rsidP="007D1AD0">
      <w:pPr>
        <w:numPr>
          <w:ilvl w:val="0"/>
          <w:numId w:val="5"/>
        </w:numPr>
        <w:contextualSpacing/>
        <w:rPr>
          <w:rFonts w:ascii="Times New Roman" w:hAnsi="Times New Roman" w:cs="Times New Roman"/>
          <w:sz w:val="24"/>
          <w:szCs w:val="24"/>
        </w:rPr>
      </w:pPr>
      <w:r w:rsidRPr="00EA0289">
        <w:rPr>
          <w:rFonts w:ascii="Times New Roman" w:hAnsi="Times New Roman" w:cs="Times New Roman"/>
          <w:sz w:val="24"/>
          <w:szCs w:val="24"/>
        </w:rPr>
        <w:t>Racionalno raspolaganje sredstvima na način da su osigurani mini</w:t>
      </w:r>
      <w:r w:rsidR="0074625C" w:rsidRPr="00EA0289">
        <w:rPr>
          <w:rFonts w:ascii="Times New Roman" w:hAnsi="Times New Roman" w:cs="Times New Roman"/>
          <w:sz w:val="24"/>
          <w:szCs w:val="24"/>
        </w:rPr>
        <w:t>m</w:t>
      </w:r>
      <w:r w:rsidRPr="00EA0289">
        <w:rPr>
          <w:rFonts w:ascii="Times New Roman" w:hAnsi="Times New Roman" w:cs="Times New Roman"/>
          <w:sz w:val="24"/>
          <w:szCs w:val="24"/>
        </w:rPr>
        <w:t>alni standardi potrebni za redovno poslovanje.</w:t>
      </w:r>
    </w:p>
    <w:p w:rsidR="007D1AD0" w:rsidRPr="00EA0289" w:rsidRDefault="007D1AD0" w:rsidP="007D1AD0">
      <w:pPr>
        <w:rPr>
          <w:rFonts w:ascii="Times New Roman" w:hAnsi="Times New Roman" w:cs="Times New Roman"/>
          <w:sz w:val="24"/>
          <w:szCs w:val="24"/>
        </w:rPr>
      </w:pPr>
    </w:p>
    <w:p w:rsidR="007D1AD0" w:rsidRPr="00EA0289" w:rsidRDefault="007D1AD0" w:rsidP="007D1AD0">
      <w:pPr>
        <w:rPr>
          <w:rFonts w:ascii="Times New Roman" w:hAnsi="Times New Roman" w:cs="Times New Roman"/>
          <w:sz w:val="24"/>
          <w:szCs w:val="24"/>
          <w:u w:val="single"/>
        </w:rPr>
      </w:pPr>
      <w:r w:rsidRPr="00EA0289">
        <w:rPr>
          <w:rFonts w:ascii="Times New Roman" w:hAnsi="Times New Roman" w:cs="Times New Roman"/>
          <w:sz w:val="24"/>
          <w:szCs w:val="24"/>
          <w:u w:val="single"/>
        </w:rPr>
        <w:t>Aktivnost A600007 Financiranje iznad minimalnog standarda</w:t>
      </w:r>
    </w:p>
    <w:p w:rsidR="007D1AD0" w:rsidRPr="00EA0289" w:rsidRDefault="007D1AD0" w:rsidP="007D1AD0">
      <w:pPr>
        <w:rPr>
          <w:rFonts w:ascii="Times New Roman" w:hAnsi="Times New Roman" w:cs="Times New Roman"/>
          <w:sz w:val="24"/>
          <w:szCs w:val="24"/>
        </w:rPr>
      </w:pPr>
      <w:r w:rsidRPr="00EA0289">
        <w:rPr>
          <w:rFonts w:ascii="Times New Roman" w:hAnsi="Times New Roman" w:cs="Times New Roman"/>
          <w:sz w:val="24"/>
          <w:szCs w:val="24"/>
        </w:rPr>
        <w:t>Ciljevi aktivnosti Financiranje iznad minimalnog standarda su višestruki obzirom da navedena aktivnost sadrži niz podaktivnosti kojima se ostvaruje vizija i misija škole. Kroz ovu aktivnost ostvaruju se ciljevi koji su zadani za aktivnost obavljanja gospodarske djelatnosti (zakupa poslovnog prostora), a temeljni je poboljšanje učeničkog standarda, ostvarivanje prihoda koji se troše za posebne namjene, a najčešće sufinanciranje troškova učenika za održavanje izvanučionične nastave te izvannastavnih aktivnosti. Osim navedenog, ova aktivnost sadrži i rashode za zaposlene koji obuhvaćaju plaće za redovan rad, ostale rashode za zaposlene koji proizlaze iz Temeljnog kolektivnog ugovora za službenike i namješt</w:t>
      </w:r>
      <w:r w:rsidR="00E86681" w:rsidRPr="00EA0289">
        <w:rPr>
          <w:rFonts w:ascii="Times New Roman" w:hAnsi="Times New Roman" w:cs="Times New Roman"/>
          <w:sz w:val="24"/>
          <w:szCs w:val="24"/>
        </w:rPr>
        <w:t>enike u javnim službama. Naposl</w:t>
      </w:r>
      <w:r w:rsidRPr="00EA0289">
        <w:rPr>
          <w:rFonts w:ascii="Times New Roman" w:hAnsi="Times New Roman" w:cs="Times New Roman"/>
          <w:sz w:val="24"/>
          <w:szCs w:val="24"/>
        </w:rPr>
        <w:t xml:space="preserve">jetku, aktivnost sadrži i plan ostvarivanja rashoda koji se financiraju iz tekućih donacija fizičkih i pravnih osoba, a sukladno važećim internim aktima Gimnazije. </w:t>
      </w:r>
    </w:p>
    <w:p w:rsidR="007D1AD0" w:rsidRPr="00EA0289" w:rsidRDefault="00546128" w:rsidP="007D1AD0">
      <w:pPr>
        <w:rPr>
          <w:rFonts w:ascii="Times New Roman" w:hAnsi="Times New Roman" w:cs="Times New Roman"/>
          <w:sz w:val="24"/>
          <w:szCs w:val="24"/>
        </w:rPr>
      </w:pPr>
      <w:r>
        <w:rPr>
          <w:rFonts w:ascii="Times New Roman" w:hAnsi="Times New Roman" w:cs="Times New Roman"/>
          <w:sz w:val="24"/>
          <w:szCs w:val="24"/>
        </w:rPr>
        <w:t>U 2026</w:t>
      </w:r>
      <w:r w:rsidR="007D1AD0" w:rsidRPr="00EA0289">
        <w:rPr>
          <w:rFonts w:ascii="Times New Roman" w:hAnsi="Times New Roman" w:cs="Times New Roman"/>
          <w:sz w:val="24"/>
          <w:szCs w:val="24"/>
        </w:rPr>
        <w:t>. godini Gimnazija nema planiranih kapitalnih projekata koji se financiraju iz decentraliziranih sredstava.</w:t>
      </w:r>
    </w:p>
    <w:p w:rsidR="007D1AD0" w:rsidRPr="00EA0289" w:rsidRDefault="007D1AD0" w:rsidP="007D1AD0">
      <w:pPr>
        <w:rPr>
          <w:rFonts w:ascii="Times New Roman" w:hAnsi="Times New Roman" w:cs="Times New Roman"/>
          <w:sz w:val="24"/>
          <w:szCs w:val="24"/>
        </w:rPr>
      </w:pPr>
    </w:p>
    <w:p w:rsidR="001D6B8D" w:rsidRPr="00EA0289" w:rsidRDefault="001D6B8D" w:rsidP="008251BE">
      <w:pPr>
        <w:spacing w:line="276" w:lineRule="auto"/>
        <w:jc w:val="both"/>
        <w:rPr>
          <w:rFonts w:ascii="Times New Roman" w:hAnsi="Times New Roman" w:cs="Times New Roman"/>
          <w:color w:val="000000" w:themeColor="text1"/>
          <w:sz w:val="24"/>
          <w:szCs w:val="24"/>
        </w:rPr>
      </w:pPr>
    </w:p>
    <w:p w:rsidR="004676A3" w:rsidRPr="00EA0289" w:rsidRDefault="004676A3" w:rsidP="004676A3">
      <w:pPr>
        <w:spacing w:line="240" w:lineRule="auto"/>
        <w:ind w:left="360"/>
        <w:jc w:val="both"/>
        <w:rPr>
          <w:rFonts w:ascii="Times New Roman" w:hAnsi="Times New Roman" w:cs="Times New Roman"/>
          <w:color w:val="FF0000"/>
        </w:rPr>
      </w:pPr>
    </w:p>
    <w:p w:rsidR="004676A3" w:rsidRPr="00EA0289" w:rsidRDefault="00672311" w:rsidP="004676A3">
      <w:pPr>
        <w:spacing w:line="240" w:lineRule="auto"/>
        <w:ind w:left="5040"/>
        <w:jc w:val="center"/>
        <w:rPr>
          <w:rFonts w:ascii="Times New Roman" w:hAnsi="Times New Roman" w:cs="Times New Roman"/>
        </w:rPr>
      </w:pPr>
      <w:r w:rsidRPr="00EA0289">
        <w:rPr>
          <w:rFonts w:ascii="Times New Roman" w:hAnsi="Times New Roman" w:cs="Times New Roman"/>
        </w:rPr>
        <w:lastRenderedPageBreak/>
        <w:t>Predsjednica Školskog odbora:</w:t>
      </w:r>
    </w:p>
    <w:p w:rsidR="004676A3" w:rsidRPr="00EA0289" w:rsidRDefault="004676A3" w:rsidP="004676A3">
      <w:pPr>
        <w:spacing w:line="240" w:lineRule="auto"/>
        <w:ind w:left="5040"/>
        <w:jc w:val="center"/>
        <w:rPr>
          <w:rFonts w:ascii="Times New Roman" w:hAnsi="Times New Roman" w:cs="Times New Roman"/>
        </w:rPr>
      </w:pPr>
      <w:r w:rsidRPr="00EA0289">
        <w:rPr>
          <w:rFonts w:ascii="Times New Roman" w:hAnsi="Times New Roman" w:cs="Times New Roman"/>
        </w:rPr>
        <w:t>________________________</w:t>
      </w:r>
    </w:p>
    <w:p w:rsidR="004676A3" w:rsidRPr="00EA0289" w:rsidRDefault="00672311" w:rsidP="004676A3">
      <w:pPr>
        <w:spacing w:line="240" w:lineRule="auto"/>
        <w:ind w:left="5040"/>
        <w:jc w:val="center"/>
        <w:rPr>
          <w:rFonts w:ascii="Times New Roman" w:hAnsi="Times New Roman" w:cs="Times New Roman"/>
        </w:rPr>
      </w:pPr>
      <w:r w:rsidRPr="00EA0289">
        <w:rPr>
          <w:rFonts w:ascii="Times New Roman" w:hAnsi="Times New Roman" w:cs="Times New Roman"/>
        </w:rPr>
        <w:t>mr. sc. Andrijana Nemet-Kosijer</w:t>
      </w:r>
    </w:p>
    <w:p w:rsidR="008251BE" w:rsidRPr="00EA0289" w:rsidRDefault="008251BE" w:rsidP="008251BE">
      <w:pPr>
        <w:spacing w:line="276" w:lineRule="auto"/>
        <w:jc w:val="both"/>
        <w:rPr>
          <w:rFonts w:ascii="Times New Roman" w:hAnsi="Times New Roman" w:cs="Times New Roman"/>
          <w:color w:val="000000" w:themeColor="text1"/>
          <w:sz w:val="24"/>
          <w:szCs w:val="24"/>
        </w:rPr>
      </w:pPr>
    </w:p>
    <w:p w:rsidR="004676A3" w:rsidRPr="00EA0289" w:rsidRDefault="004676A3" w:rsidP="008251BE">
      <w:pPr>
        <w:spacing w:line="276" w:lineRule="auto"/>
        <w:jc w:val="both"/>
        <w:rPr>
          <w:rFonts w:ascii="Times New Roman" w:hAnsi="Times New Roman" w:cs="Times New Roman"/>
          <w:color w:val="000000" w:themeColor="text1"/>
          <w:sz w:val="24"/>
          <w:szCs w:val="24"/>
        </w:rPr>
      </w:pPr>
    </w:p>
    <w:p w:rsidR="004676A3" w:rsidRPr="00EA0289" w:rsidRDefault="004676A3" w:rsidP="008251BE">
      <w:pPr>
        <w:spacing w:line="276" w:lineRule="auto"/>
        <w:jc w:val="both"/>
        <w:rPr>
          <w:rFonts w:ascii="Times New Roman" w:hAnsi="Times New Roman" w:cs="Times New Roman"/>
          <w:color w:val="000000" w:themeColor="text1"/>
          <w:sz w:val="24"/>
          <w:szCs w:val="24"/>
        </w:rPr>
      </w:pPr>
    </w:p>
    <w:sectPr w:rsidR="004676A3" w:rsidRPr="00EA0289" w:rsidSect="00F279B0">
      <w:footerReference w:type="default" r:id="rId8"/>
      <w:pgSz w:w="11906" w:h="16838"/>
      <w:pgMar w:top="1417" w:right="1417" w:bottom="1417" w:left="1417"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7A" w:rsidRDefault="00EE2F7A" w:rsidP="00396438">
      <w:pPr>
        <w:spacing w:after="0" w:line="240" w:lineRule="auto"/>
      </w:pPr>
      <w:r>
        <w:separator/>
      </w:r>
    </w:p>
  </w:endnote>
  <w:endnote w:type="continuationSeparator" w:id="0">
    <w:p w:rsidR="00EE2F7A" w:rsidRDefault="00EE2F7A" w:rsidP="0039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74356"/>
      <w:docPartObj>
        <w:docPartGallery w:val="Page Numbers (Bottom of Page)"/>
        <w:docPartUnique/>
      </w:docPartObj>
    </w:sdtPr>
    <w:sdtEndPr/>
    <w:sdtContent>
      <w:p w:rsidR="00572DF2" w:rsidRDefault="00572DF2">
        <w:pPr>
          <w:pStyle w:val="Podnoje"/>
          <w:jc w:val="right"/>
        </w:pPr>
        <w:r>
          <w:fldChar w:fldCharType="begin"/>
        </w:r>
        <w:r>
          <w:instrText>PAGE   \* MERGEFORMAT</w:instrText>
        </w:r>
        <w:r>
          <w:fldChar w:fldCharType="separate"/>
        </w:r>
        <w:r w:rsidR="0052045E">
          <w:rPr>
            <w:noProof/>
          </w:rPr>
          <w:t>13</w:t>
        </w:r>
        <w:r>
          <w:fldChar w:fldCharType="end"/>
        </w:r>
      </w:p>
    </w:sdtContent>
  </w:sdt>
  <w:p w:rsidR="00F46DBA" w:rsidRDefault="00F46DB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7A" w:rsidRDefault="00EE2F7A" w:rsidP="00396438">
      <w:pPr>
        <w:spacing w:after="0" w:line="240" w:lineRule="auto"/>
      </w:pPr>
      <w:r>
        <w:separator/>
      </w:r>
    </w:p>
  </w:footnote>
  <w:footnote w:type="continuationSeparator" w:id="0">
    <w:p w:rsidR="00EE2F7A" w:rsidRDefault="00EE2F7A" w:rsidP="00396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0479C"/>
    <w:multiLevelType w:val="hybridMultilevel"/>
    <w:tmpl w:val="B9E40BE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613FA1"/>
    <w:multiLevelType w:val="hybridMultilevel"/>
    <w:tmpl w:val="B05C6D9E"/>
    <w:lvl w:ilvl="0" w:tplc="34D2C4B4">
      <w:start w:val="2"/>
      <w:numFmt w:val="bullet"/>
      <w:lvlText w:val="-"/>
      <w:lvlJc w:val="left"/>
      <w:pPr>
        <w:ind w:left="720" w:hanging="360"/>
      </w:pPr>
      <w:rPr>
        <w:rFonts w:ascii="Calibri" w:eastAsiaTheme="minorEastAsia"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39E68A6"/>
    <w:multiLevelType w:val="hybridMultilevel"/>
    <w:tmpl w:val="52D41950"/>
    <w:lvl w:ilvl="0" w:tplc="7304D4C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6F82836"/>
    <w:multiLevelType w:val="multilevel"/>
    <w:tmpl w:val="1C205C64"/>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7F73CF1"/>
    <w:multiLevelType w:val="hybridMultilevel"/>
    <w:tmpl w:val="3EBAB686"/>
    <w:lvl w:ilvl="0" w:tplc="2D00D68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32D52AC"/>
    <w:multiLevelType w:val="hybridMultilevel"/>
    <w:tmpl w:val="2FA64A6A"/>
    <w:lvl w:ilvl="0" w:tplc="40F2D22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B1"/>
    <w:rsid w:val="000069BF"/>
    <w:rsid w:val="00057915"/>
    <w:rsid w:val="000751B9"/>
    <w:rsid w:val="00086ABE"/>
    <w:rsid w:val="000A0C8D"/>
    <w:rsid w:val="000E2957"/>
    <w:rsid w:val="001268E5"/>
    <w:rsid w:val="00151C09"/>
    <w:rsid w:val="00160BCE"/>
    <w:rsid w:val="001865AD"/>
    <w:rsid w:val="001906BB"/>
    <w:rsid w:val="00193346"/>
    <w:rsid w:val="00196E98"/>
    <w:rsid w:val="001D6B8D"/>
    <w:rsid w:val="001D7AED"/>
    <w:rsid w:val="001E7F60"/>
    <w:rsid w:val="0020514A"/>
    <w:rsid w:val="002104C6"/>
    <w:rsid w:val="0022607A"/>
    <w:rsid w:val="00250FC5"/>
    <w:rsid w:val="00290CC6"/>
    <w:rsid w:val="00291C73"/>
    <w:rsid w:val="002A7F3E"/>
    <w:rsid w:val="002B421E"/>
    <w:rsid w:val="002C6C18"/>
    <w:rsid w:val="002D2601"/>
    <w:rsid w:val="002D4BC1"/>
    <w:rsid w:val="00311F6A"/>
    <w:rsid w:val="00320065"/>
    <w:rsid w:val="00337C17"/>
    <w:rsid w:val="00371CCE"/>
    <w:rsid w:val="00375CAB"/>
    <w:rsid w:val="00396438"/>
    <w:rsid w:val="003A23DC"/>
    <w:rsid w:val="003C0292"/>
    <w:rsid w:val="003F4F63"/>
    <w:rsid w:val="00412F29"/>
    <w:rsid w:val="004144F1"/>
    <w:rsid w:val="00433D46"/>
    <w:rsid w:val="004434D9"/>
    <w:rsid w:val="00460EA5"/>
    <w:rsid w:val="004676A3"/>
    <w:rsid w:val="00483AA2"/>
    <w:rsid w:val="004A1FA3"/>
    <w:rsid w:val="004A6259"/>
    <w:rsid w:val="004D1ECD"/>
    <w:rsid w:val="0052045E"/>
    <w:rsid w:val="0052118B"/>
    <w:rsid w:val="00527D02"/>
    <w:rsid w:val="00546128"/>
    <w:rsid w:val="005609BE"/>
    <w:rsid w:val="00572DF2"/>
    <w:rsid w:val="00592575"/>
    <w:rsid w:val="00596EBA"/>
    <w:rsid w:val="0064129E"/>
    <w:rsid w:val="00642ED2"/>
    <w:rsid w:val="00672311"/>
    <w:rsid w:val="00684A39"/>
    <w:rsid w:val="00697805"/>
    <w:rsid w:val="006B7E04"/>
    <w:rsid w:val="006C0D40"/>
    <w:rsid w:val="006E5C6F"/>
    <w:rsid w:val="0074625C"/>
    <w:rsid w:val="00772663"/>
    <w:rsid w:val="00776A21"/>
    <w:rsid w:val="007D0E10"/>
    <w:rsid w:val="007D1AD0"/>
    <w:rsid w:val="007D413B"/>
    <w:rsid w:val="007E51C8"/>
    <w:rsid w:val="007F2765"/>
    <w:rsid w:val="007F5242"/>
    <w:rsid w:val="00805B9A"/>
    <w:rsid w:val="00816A9B"/>
    <w:rsid w:val="008251BE"/>
    <w:rsid w:val="0084389E"/>
    <w:rsid w:val="00846313"/>
    <w:rsid w:val="008545BA"/>
    <w:rsid w:val="00854ACE"/>
    <w:rsid w:val="008564C0"/>
    <w:rsid w:val="00880CD7"/>
    <w:rsid w:val="0089035A"/>
    <w:rsid w:val="008D3ED2"/>
    <w:rsid w:val="008E693D"/>
    <w:rsid w:val="00972342"/>
    <w:rsid w:val="00972A46"/>
    <w:rsid w:val="00973E02"/>
    <w:rsid w:val="009C2FFE"/>
    <w:rsid w:val="009F2ED1"/>
    <w:rsid w:val="00A3119E"/>
    <w:rsid w:val="00A662E7"/>
    <w:rsid w:val="00A81CFD"/>
    <w:rsid w:val="00A93E86"/>
    <w:rsid w:val="00A94795"/>
    <w:rsid w:val="00AB5F73"/>
    <w:rsid w:val="00AE294C"/>
    <w:rsid w:val="00AE7F44"/>
    <w:rsid w:val="00B7542C"/>
    <w:rsid w:val="00BB3219"/>
    <w:rsid w:val="00BB6A73"/>
    <w:rsid w:val="00C23E43"/>
    <w:rsid w:val="00C36C29"/>
    <w:rsid w:val="00C564AF"/>
    <w:rsid w:val="00C6525E"/>
    <w:rsid w:val="00C87936"/>
    <w:rsid w:val="00C95A47"/>
    <w:rsid w:val="00CB27A6"/>
    <w:rsid w:val="00CC4FB1"/>
    <w:rsid w:val="00CD0503"/>
    <w:rsid w:val="00CD49A0"/>
    <w:rsid w:val="00CD4D24"/>
    <w:rsid w:val="00CD70FC"/>
    <w:rsid w:val="00CE169E"/>
    <w:rsid w:val="00D046B6"/>
    <w:rsid w:val="00D53736"/>
    <w:rsid w:val="00D83D32"/>
    <w:rsid w:val="00DA1B89"/>
    <w:rsid w:val="00DC4652"/>
    <w:rsid w:val="00DE28F9"/>
    <w:rsid w:val="00E04CB7"/>
    <w:rsid w:val="00E1101F"/>
    <w:rsid w:val="00E138C8"/>
    <w:rsid w:val="00E262F3"/>
    <w:rsid w:val="00E34BA2"/>
    <w:rsid w:val="00E447E0"/>
    <w:rsid w:val="00E532DF"/>
    <w:rsid w:val="00E62D00"/>
    <w:rsid w:val="00E86681"/>
    <w:rsid w:val="00EA0289"/>
    <w:rsid w:val="00ED0DAB"/>
    <w:rsid w:val="00ED3F05"/>
    <w:rsid w:val="00EE2F7A"/>
    <w:rsid w:val="00EF1DCD"/>
    <w:rsid w:val="00F157E3"/>
    <w:rsid w:val="00F26D91"/>
    <w:rsid w:val="00F279B0"/>
    <w:rsid w:val="00F46DBA"/>
    <w:rsid w:val="00F763DB"/>
    <w:rsid w:val="00F85703"/>
    <w:rsid w:val="00F96867"/>
    <w:rsid w:val="00FC0761"/>
    <w:rsid w:val="00FD501B"/>
    <w:rsid w:val="00FE2501"/>
    <w:rsid w:val="00FF6F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6EF3AD-9B68-4C52-9A20-596576E4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1B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251BE"/>
    <w:pPr>
      <w:ind w:left="720"/>
      <w:contextualSpacing/>
    </w:pPr>
  </w:style>
  <w:style w:type="table" w:styleId="Reetkatablice">
    <w:name w:val="Table Grid"/>
    <w:basedOn w:val="Obinatablica"/>
    <w:uiPriority w:val="59"/>
    <w:rsid w:val="008251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7D41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D413B"/>
    <w:rPr>
      <w:rFonts w:ascii="Segoe UI" w:hAnsi="Segoe UI" w:cs="Segoe UI"/>
      <w:sz w:val="18"/>
      <w:szCs w:val="18"/>
    </w:rPr>
  </w:style>
  <w:style w:type="paragraph" w:styleId="Zaglavlje">
    <w:name w:val="header"/>
    <w:basedOn w:val="Normal"/>
    <w:link w:val="ZaglavljeChar"/>
    <w:uiPriority w:val="99"/>
    <w:unhideWhenUsed/>
    <w:rsid w:val="0039643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6438"/>
  </w:style>
  <w:style w:type="paragraph" w:styleId="Podnoje">
    <w:name w:val="footer"/>
    <w:basedOn w:val="Normal"/>
    <w:link w:val="PodnojeChar"/>
    <w:uiPriority w:val="99"/>
    <w:unhideWhenUsed/>
    <w:rsid w:val="0039643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6438"/>
  </w:style>
  <w:style w:type="table" w:customStyle="1" w:styleId="Reetkatablice1">
    <w:name w:val="Rešetka tablice1"/>
    <w:basedOn w:val="Obinatablica"/>
    <w:next w:val="Reetkatablice"/>
    <w:uiPriority w:val="59"/>
    <w:rsid w:val="007D1AD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9309">
      <w:bodyDiv w:val="1"/>
      <w:marLeft w:val="0"/>
      <w:marRight w:val="0"/>
      <w:marTop w:val="0"/>
      <w:marBottom w:val="0"/>
      <w:divBdr>
        <w:top w:val="none" w:sz="0" w:space="0" w:color="auto"/>
        <w:left w:val="none" w:sz="0" w:space="0" w:color="auto"/>
        <w:bottom w:val="none" w:sz="0" w:space="0" w:color="auto"/>
        <w:right w:val="none" w:sz="0" w:space="0" w:color="auto"/>
      </w:divBdr>
    </w:div>
    <w:div w:id="618342724">
      <w:bodyDiv w:val="1"/>
      <w:marLeft w:val="0"/>
      <w:marRight w:val="0"/>
      <w:marTop w:val="0"/>
      <w:marBottom w:val="0"/>
      <w:divBdr>
        <w:top w:val="none" w:sz="0" w:space="0" w:color="auto"/>
        <w:left w:val="none" w:sz="0" w:space="0" w:color="auto"/>
        <w:bottom w:val="none" w:sz="0" w:space="0" w:color="auto"/>
        <w:right w:val="none" w:sz="0" w:space="0" w:color="auto"/>
      </w:divBdr>
    </w:div>
    <w:div w:id="766536806">
      <w:bodyDiv w:val="1"/>
      <w:marLeft w:val="0"/>
      <w:marRight w:val="0"/>
      <w:marTop w:val="0"/>
      <w:marBottom w:val="0"/>
      <w:divBdr>
        <w:top w:val="none" w:sz="0" w:space="0" w:color="auto"/>
        <w:left w:val="none" w:sz="0" w:space="0" w:color="auto"/>
        <w:bottom w:val="none" w:sz="0" w:space="0" w:color="auto"/>
        <w:right w:val="none" w:sz="0" w:space="0" w:color="auto"/>
      </w:divBdr>
    </w:div>
    <w:div w:id="1194152413">
      <w:bodyDiv w:val="1"/>
      <w:marLeft w:val="0"/>
      <w:marRight w:val="0"/>
      <w:marTop w:val="0"/>
      <w:marBottom w:val="0"/>
      <w:divBdr>
        <w:top w:val="none" w:sz="0" w:space="0" w:color="auto"/>
        <w:left w:val="none" w:sz="0" w:space="0" w:color="auto"/>
        <w:bottom w:val="none" w:sz="0" w:space="0" w:color="auto"/>
        <w:right w:val="none" w:sz="0" w:space="0" w:color="auto"/>
      </w:divBdr>
    </w:div>
    <w:div w:id="1310285927">
      <w:bodyDiv w:val="1"/>
      <w:marLeft w:val="0"/>
      <w:marRight w:val="0"/>
      <w:marTop w:val="0"/>
      <w:marBottom w:val="0"/>
      <w:divBdr>
        <w:top w:val="none" w:sz="0" w:space="0" w:color="auto"/>
        <w:left w:val="none" w:sz="0" w:space="0" w:color="auto"/>
        <w:bottom w:val="none" w:sz="0" w:space="0" w:color="auto"/>
        <w:right w:val="none" w:sz="0" w:space="0" w:color="auto"/>
      </w:divBdr>
    </w:div>
    <w:div w:id="1539273642">
      <w:bodyDiv w:val="1"/>
      <w:marLeft w:val="0"/>
      <w:marRight w:val="0"/>
      <w:marTop w:val="0"/>
      <w:marBottom w:val="0"/>
      <w:divBdr>
        <w:top w:val="none" w:sz="0" w:space="0" w:color="auto"/>
        <w:left w:val="none" w:sz="0" w:space="0" w:color="auto"/>
        <w:bottom w:val="none" w:sz="0" w:space="0" w:color="auto"/>
        <w:right w:val="none" w:sz="0" w:space="0" w:color="auto"/>
      </w:divBdr>
    </w:div>
    <w:div w:id="2005279390">
      <w:bodyDiv w:val="1"/>
      <w:marLeft w:val="0"/>
      <w:marRight w:val="0"/>
      <w:marTop w:val="0"/>
      <w:marBottom w:val="0"/>
      <w:divBdr>
        <w:top w:val="none" w:sz="0" w:space="0" w:color="auto"/>
        <w:left w:val="none" w:sz="0" w:space="0" w:color="auto"/>
        <w:bottom w:val="none" w:sz="0" w:space="0" w:color="auto"/>
        <w:right w:val="none" w:sz="0" w:space="0" w:color="auto"/>
      </w:divBdr>
    </w:div>
    <w:div w:id="20705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3585E-AFD3-49E5-BB40-E955124D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2799</Words>
  <Characters>15957</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35</cp:revision>
  <cp:lastPrinted>2025-11-07T08:12:00Z</cp:lastPrinted>
  <dcterms:created xsi:type="dcterms:W3CDTF">2023-10-10T11:56:00Z</dcterms:created>
  <dcterms:modified xsi:type="dcterms:W3CDTF">2025-11-07T08:26:00Z</dcterms:modified>
</cp:coreProperties>
</file>