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9f6baee748d475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17763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GIMNAZIJA  MATIJA MESIĆ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1.162.531,93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1.268.227,38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1.153.700,83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1.434.245,57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166.018,19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5.078,33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171.096,52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Manjak prihoda poslovanja evidentiran u obrascu PR-RAS rezultat je ostvarenih rashoda poslovanja koji premašuju ostvarene prihode, pri čemu je na rashodnoj strani iskazano 1.434.245,57 EUR, dok su prihodi poslovanja iznosili 1.268.227,38 EUR. Time je ostvaren manjak prihoda poslovanja u iznosu od 166.018,19 EUR.
Nastali manjak posljedica je prvenstveno rasta rashoda za energente uslijed povećanja cijena na tržištu te rasta rashoda za plaće zaposlenika zbog povećanja koeficijenata u sustavu obrazovanja, što se odrazilo na rashodnu stranu poslovanja (šifra 3) bez proporcionalnog rasta prihoda (šifra 6). S obzirom na strukturu proračunskog računovodstva, manjak je dodatno izražen jer se rashodi za plaće iskazuju kroz više rashodovnih konta (7 rashoda) dok prihodi dolaze kroz manji broj prihoda (6 prihoda), a uz ukidanje kontuiranih rashoda, navedeno je utjecalo na iskazani manjak.
Manjak od prodaje i nabave nefinancijske imovine u iznosu od 5.078,33 EUR proizlazi iz izvršenih ulaganja u nefinancijsku imovinu škole tijekom izvještajnog razdoblja, s ciljem unapređenja funkcionalnosti prostora i opreme škole, pri čemu su ulaganja financirana djelomično iz vlastitih sredstava, a djelomično kroz provedbu projekata.
Tijekom ostatka proračunske godine planira se racionalizacija rashoda te planiranje i realizacija dodatnih prihoda kako bi se manjak do kraja godine izjednačio u skladu s planiranim proračunom.
</w:t>
      </w:r>
    </w:p>
    <w:p>
      <w:r>
        <w:br/>
      </w:r>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 dan sastavljanja ovog izvještaja, stanje dospjelih obveza iznosi 0,00 EUR. Svi računi pristigli zaključno s danom sastavljanja izvještaja pravovremeno su zaprimljeni, knjiženi te podmireni u ugovorenim rokovima dospijeća, čime je osigurana urednost i stabilnost u upravljanju novčanim tokom ustanove.
U narednom razdoblju nastavit će se praćenje pristiglih obveza i njihovo podmirenje u rokovima, kako bi se održala urednost financijskog poslovanja i omogućila točna evidencija obveza i rashoda prilikom polugodišnjeg i godišnjeg izvještavanja.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95fb421faf646ff" /></Relationships>
</file>